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14079" w14:paraId="49D9C51A" w14:textId="77777777" w:rsidTr="00AF6DE6">
        <w:trPr>
          <w:jc w:val="center"/>
        </w:trPr>
        <w:tc>
          <w:tcPr>
            <w:tcW w:w="9638" w:type="dxa"/>
            <w:shd w:val="clear" w:color="auto" w:fill="44546A"/>
          </w:tcPr>
          <w:p w14:paraId="7665FABE" w14:textId="77777777" w:rsidR="00914079" w:rsidRDefault="00914079" w:rsidP="00C109FE">
            <w:r>
              <w:rPr>
                <w:rFonts w:eastAsia="Cambria Math" w:cstheme="minorBidi"/>
                <w:smallCaps/>
                <w:color w:val="FF0000"/>
                <w:kern w:val="24"/>
                <w:sz w:val="192"/>
                <w:szCs w:val="192"/>
                <w:lang w:val="en-US"/>
              </w:rPr>
              <w:t>A</w:t>
            </w:r>
            <w:r>
              <w:rPr>
                <w:rFonts w:eastAsia="Cambria Math" w:cstheme="minorBidi"/>
                <w:smallCaps/>
                <w:color w:val="FFFFFF" w:themeColor="light1"/>
                <w:kern w:val="24"/>
                <w:sz w:val="192"/>
                <w:szCs w:val="192"/>
                <w:lang w:val="en-US"/>
              </w:rPr>
              <w:t>sia</w:t>
            </w:r>
          </w:p>
          <w:p w14:paraId="41513A5E" w14:textId="77777777" w:rsidR="00914079" w:rsidRDefault="00914079" w:rsidP="00C109FE">
            <w:r>
              <w:rPr>
                <w:rFonts w:eastAsia="Cambria Math" w:cstheme="minorBidi"/>
                <w:smallCaps/>
                <w:color w:val="FFC000"/>
                <w:kern w:val="24"/>
                <w:sz w:val="192"/>
                <w:szCs w:val="192"/>
                <w:lang w:val="en-US"/>
              </w:rPr>
              <w:t>R</w:t>
            </w:r>
            <w:r>
              <w:rPr>
                <w:rFonts w:eastAsia="Cambria Math" w:cstheme="minorBidi"/>
                <w:smallCaps/>
                <w:color w:val="FFFFFF" w:themeColor="light1"/>
                <w:kern w:val="24"/>
                <w:sz w:val="192"/>
                <w:szCs w:val="192"/>
                <w:lang w:val="en-US"/>
              </w:rPr>
              <w:t>egion</w:t>
            </w:r>
          </w:p>
          <w:p w14:paraId="6438FED7" w14:textId="77777777" w:rsidR="00914079" w:rsidRDefault="00914079" w:rsidP="00C109FE">
            <w:r>
              <w:rPr>
                <w:rFonts w:eastAsia="Cambria Math" w:cstheme="minorBidi"/>
                <w:smallCaps/>
                <w:color w:val="92D050"/>
                <w:kern w:val="24"/>
                <w:sz w:val="192"/>
                <w:szCs w:val="192"/>
                <w:lang w:val="en-US"/>
              </w:rPr>
              <w:t>F</w:t>
            </w:r>
            <w:r>
              <w:rPr>
                <w:rFonts w:eastAsia="Cambria Math" w:cstheme="minorBidi"/>
                <w:smallCaps/>
                <w:color w:val="FFFFFF" w:themeColor="light1"/>
                <w:kern w:val="24"/>
                <w:sz w:val="192"/>
                <w:szCs w:val="192"/>
                <w:lang w:val="en-US"/>
              </w:rPr>
              <w:t>unds</w:t>
            </w:r>
          </w:p>
          <w:p w14:paraId="79955E03" w14:textId="77777777" w:rsidR="00914079" w:rsidRDefault="00914079" w:rsidP="00C109FE">
            <w:r>
              <w:rPr>
                <w:rFonts w:eastAsia="Cambria Math" w:cstheme="minorBidi"/>
                <w:smallCaps/>
                <w:color w:val="00B0F0"/>
                <w:kern w:val="24"/>
                <w:sz w:val="192"/>
                <w:szCs w:val="192"/>
                <w:lang w:val="en-US"/>
              </w:rPr>
              <w:t>P</w:t>
            </w:r>
            <w:r>
              <w:rPr>
                <w:rFonts w:eastAsia="Cambria Math" w:cstheme="minorBidi"/>
                <w:smallCaps/>
                <w:color w:val="FFFFFF" w:themeColor="light1"/>
                <w:kern w:val="24"/>
                <w:sz w:val="192"/>
                <w:szCs w:val="192"/>
                <w:lang w:val="en-US"/>
              </w:rPr>
              <w:t>assport</w:t>
            </w:r>
          </w:p>
          <w:p w14:paraId="7244861C" w14:textId="77777777" w:rsidR="00914079" w:rsidRDefault="00914079" w:rsidP="009F34FC"/>
        </w:tc>
        <w:bookmarkStart w:id="0" w:name="_GoBack"/>
        <w:bookmarkEnd w:id="0"/>
      </w:tr>
      <w:tr w:rsidR="00914079" w14:paraId="2810E7EB" w14:textId="77777777" w:rsidTr="007A6ED9">
        <w:trPr>
          <w:jc w:val="center"/>
        </w:trPr>
        <w:tc>
          <w:tcPr>
            <w:tcW w:w="9638" w:type="dxa"/>
          </w:tcPr>
          <w:p w14:paraId="426B43B2" w14:textId="6C395174" w:rsidR="00914079" w:rsidRPr="00866105" w:rsidRDefault="00914079" w:rsidP="00866105">
            <w:pPr>
              <w:spacing w:before="840" w:after="840"/>
              <w:jc w:val="center"/>
              <w:rPr>
                <w:color w:val="4F81BD" w:themeColor="accent1"/>
                <w:sz w:val="40"/>
              </w:rPr>
            </w:pPr>
            <w:r w:rsidRPr="00866105">
              <w:rPr>
                <w:color w:val="262626" w:themeColor="text1" w:themeTint="D9"/>
                <w:sz w:val="40"/>
              </w:rPr>
              <w:t xml:space="preserve">Annual Report </w:t>
            </w:r>
            <w:r w:rsidRPr="00866105">
              <w:rPr>
                <w:color w:val="4F81BD" w:themeColor="accent1"/>
                <w:sz w:val="40"/>
              </w:rPr>
              <w:t>2016</w:t>
            </w:r>
            <w:r w:rsidR="00C109FE">
              <w:rPr>
                <w:color w:val="4F81BD" w:themeColor="accent1"/>
                <w:sz w:val="40"/>
              </w:rPr>
              <w:noBreakHyphen/>
            </w:r>
            <w:r w:rsidRPr="00866105">
              <w:rPr>
                <w:color w:val="4F81BD" w:themeColor="accent1"/>
                <w:sz w:val="40"/>
              </w:rPr>
              <w:t>2017</w:t>
            </w:r>
          </w:p>
        </w:tc>
      </w:tr>
    </w:tbl>
    <w:p w14:paraId="2B9DFD8F" w14:textId="77777777" w:rsidR="00866105" w:rsidRDefault="00866105" w:rsidP="000601FC">
      <w:pPr>
        <w:rPr>
          <w:rFonts w:asciiTheme="majorHAnsi" w:hAnsiTheme="majorHAnsi"/>
          <w:sz w:val="24"/>
        </w:rPr>
      </w:pPr>
    </w:p>
    <w:p w14:paraId="671532F6" w14:textId="77777777" w:rsidR="00866105" w:rsidRDefault="00866105" w:rsidP="00866105">
      <w:pPr>
        <w:spacing w:before="360"/>
        <w:jc w:val="right"/>
        <w:rPr>
          <w:rFonts w:asciiTheme="majorHAnsi" w:hAnsiTheme="majorHAnsi"/>
          <w:sz w:val="24"/>
        </w:rPr>
      </w:pPr>
      <w:r>
        <w:rPr>
          <w:noProof/>
          <w:lang w:eastAsia="en-AU"/>
        </w:rPr>
        <w:drawing>
          <wp:inline distT="0" distB="0" distL="0" distR="0" wp14:anchorId="1CD917A8" wp14:editId="4F6D55F5">
            <wp:extent cx="1243012" cy="719137"/>
            <wp:effectExtent l="0" t="0" r="0" b="5080"/>
            <wp:docPr id="205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図 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3012" cy="719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350E34E" w14:textId="77777777" w:rsidR="00914079" w:rsidRDefault="00914079" w:rsidP="000601FC">
      <w:pPr>
        <w:rPr>
          <w:rFonts w:asciiTheme="majorHAnsi" w:hAnsiTheme="majorHAnsi"/>
          <w:sz w:val="24"/>
        </w:rPr>
        <w:sectPr w:rsidR="00914079" w:rsidSect="00343B6F">
          <w:footerReference w:type="default" r:id="rId15"/>
          <w:type w:val="continuous"/>
          <w:pgSz w:w="11906" w:h="16838"/>
          <w:pgMar w:top="1134" w:right="1134" w:bottom="1134" w:left="1134" w:header="708" w:footer="708" w:gutter="0"/>
          <w:cols w:space="284"/>
          <w:titlePg/>
          <w:docGrid w:linePitch="360"/>
        </w:sectPr>
      </w:pPr>
      <w:r>
        <w:rPr>
          <w:noProof/>
          <w:lang w:eastAsia="en-AU"/>
        </w:rPr>
        <mc:AlternateContent>
          <mc:Choice Requires="wps">
            <w:drawing>
              <wp:anchor distT="0" distB="0" distL="114300" distR="114300" simplePos="0" relativeHeight="251665408" behindDoc="0" locked="0" layoutInCell="1" allowOverlap="1" wp14:anchorId="30876E3F" wp14:editId="569D4359">
                <wp:simplePos x="0" y="0"/>
                <wp:positionH relativeFrom="column">
                  <wp:posOffset>155575</wp:posOffset>
                </wp:positionH>
                <wp:positionV relativeFrom="paragraph">
                  <wp:posOffset>7192645</wp:posOffset>
                </wp:positionV>
                <wp:extent cx="6086475" cy="1403985"/>
                <wp:effectExtent l="0" t="0" r="28575"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403985"/>
                        </a:xfrm>
                        <a:prstGeom prst="rect">
                          <a:avLst/>
                        </a:prstGeom>
                        <a:solidFill>
                          <a:srgbClr val="FFFFFF"/>
                        </a:solidFill>
                        <a:ln w="9525">
                          <a:solidFill>
                            <a:srgbClr val="000000"/>
                          </a:solidFill>
                          <a:miter lim="800000"/>
                          <a:headEnd/>
                          <a:tailEnd/>
                        </a:ln>
                      </wps:spPr>
                      <wps:txbx>
                        <w:txbxContent>
                          <w:p w14:paraId="0D6FB7E1" w14:textId="0A09ED93" w:rsidR="00881C52" w:rsidRDefault="00881C52" w:rsidP="00914079">
                            <w:pPr>
                              <w:jc w:val="center"/>
                            </w:pPr>
                            <w:r w:rsidRPr="009F34FC">
                              <w:t>Annual Report 2016</w:t>
                            </w:r>
                            <w:r w:rsidR="00C109FE">
                              <w:noBreakHyphen/>
                            </w:r>
                            <w:r w:rsidRPr="009F34FC">
                              <w:t>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25pt;margin-top:566.35pt;width:479.2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">
                <v:textbox style="mso-fit-shape-to-text:t">
                  <w:txbxContent>
                    <w:p w14:paraId="0D6FB7E1" w14:textId="0A09ED93" w:rsidR="00881C52" w:rsidRDefault="00881C52" w:rsidP="00914079">
                      <w:pPr>
                        <w:jc w:val="center"/>
                      </w:pPr>
                      <w:r w:rsidRPr="009F34FC">
                        <w:t>Annual Report 2016</w:t>
                      </w:r>
                      <w:r w:rsidR="00C109FE">
                        <w:noBreakHyphen/>
                      </w:r>
                      <w:r w:rsidRPr="009F34FC">
                        <w:t>2017</w:t>
                      </w:r>
                    </w:p>
                  </w:txbxContent>
                </v:textbox>
              </v:shape>
            </w:pict>
          </mc:Fallback>
        </mc:AlternateConten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78"/>
        <w:gridCol w:w="4961"/>
      </w:tblGrid>
      <w:tr w:rsidR="009F34FC" w:rsidRPr="009F34FC" w14:paraId="408F6C7F" w14:textId="77777777" w:rsidTr="00AF6DE6">
        <w:trPr>
          <w:trHeight w:val="1361"/>
        </w:trPr>
        <w:tc>
          <w:tcPr>
            <w:tcW w:w="4678" w:type="dxa"/>
            <w:shd w:val="clear" w:color="auto" w:fill="D9D9D9" w:themeFill="background1" w:themeFillShade="D9"/>
          </w:tcPr>
          <w:p w14:paraId="412CFC4E" w14:textId="77777777" w:rsidR="009F34FC" w:rsidRPr="009F34FC" w:rsidRDefault="00C90E06" w:rsidP="000601FC">
            <w:pPr>
              <w:spacing w:after="100" w:afterAutospacing="1"/>
              <w:contextualSpacing/>
            </w:pPr>
            <w:r w:rsidRPr="009F34FC">
              <w:rPr>
                <w:noProof/>
                <w:lang w:eastAsia="en-AU"/>
              </w:rPr>
              <w:lastRenderedPageBreak/>
              <w:drawing>
                <wp:inline distT="0" distB="0" distL="0" distR="0" wp14:anchorId="6A2D8CB7" wp14:editId="707C2B15">
                  <wp:extent cx="2990850" cy="2086610"/>
                  <wp:effectExtent l="0" t="0" r="0" b="8890"/>
                  <wp:docPr id="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990850" cy="2086610"/>
                          </a:xfrm>
                          <a:prstGeom prst="rect">
                            <a:avLst/>
                          </a:prstGeom>
                        </pic:spPr>
                      </pic:pic>
                    </a:graphicData>
                  </a:graphic>
                </wp:inline>
              </w:drawing>
            </w:r>
          </w:p>
        </w:tc>
        <w:tc>
          <w:tcPr>
            <w:tcW w:w="4961" w:type="dxa"/>
            <w:shd w:val="clear" w:color="auto" w:fill="44546A"/>
          </w:tcPr>
          <w:p w14:paraId="75D8156C" w14:textId="34362BBE" w:rsidR="009F34FC" w:rsidRPr="009F34FC" w:rsidRDefault="009F34FC" w:rsidP="00AF6DE6">
            <w:pPr>
              <w:pStyle w:val="Heading1"/>
              <w:spacing w:before="360" w:after="240"/>
              <w:ind w:left="227"/>
            </w:pPr>
            <w:r w:rsidRPr="009F34FC">
              <w:t>Chair Report</w:t>
            </w:r>
          </w:p>
          <w:p w14:paraId="7DBACF4F" w14:textId="77777777" w:rsidR="009F34FC" w:rsidRPr="00AF6DE6" w:rsidRDefault="009F34FC" w:rsidP="000B39E0">
            <w:pPr>
              <w:spacing w:after="0"/>
              <w:ind w:left="227"/>
              <w:rPr>
                <w:rFonts w:asciiTheme="majorHAnsi" w:hAnsiTheme="majorHAnsi"/>
                <w:color w:val="FFFFFF" w:themeColor="background1"/>
                <w:sz w:val="24"/>
              </w:rPr>
            </w:pPr>
            <w:proofErr w:type="spellStart"/>
            <w:r w:rsidRPr="00AF6DE6">
              <w:rPr>
                <w:rFonts w:asciiTheme="majorHAnsi" w:hAnsiTheme="majorHAnsi"/>
                <w:color w:val="FFFFFF" w:themeColor="background1"/>
                <w:sz w:val="24"/>
              </w:rPr>
              <w:t>Jumpei</w:t>
            </w:r>
            <w:proofErr w:type="spellEnd"/>
            <w:r w:rsidRPr="00AF6DE6">
              <w:rPr>
                <w:rFonts w:asciiTheme="majorHAnsi" w:hAnsiTheme="majorHAnsi"/>
                <w:color w:val="FFFFFF" w:themeColor="background1"/>
                <w:sz w:val="24"/>
              </w:rPr>
              <w:t xml:space="preserve"> Miwa</w:t>
            </w:r>
          </w:p>
          <w:p w14:paraId="02B00C4E" w14:textId="1D38E80D" w:rsidR="009F34FC" w:rsidRPr="00AF6DE6" w:rsidRDefault="009F34FC" w:rsidP="000B39E0">
            <w:pPr>
              <w:spacing w:after="0"/>
              <w:ind w:left="227"/>
              <w:rPr>
                <w:rFonts w:asciiTheme="majorHAnsi" w:hAnsiTheme="majorHAnsi"/>
                <w:color w:val="FFFFFF" w:themeColor="background1"/>
                <w:sz w:val="24"/>
              </w:rPr>
            </w:pPr>
            <w:r w:rsidRPr="00AF6DE6">
              <w:rPr>
                <w:rFonts w:asciiTheme="majorHAnsi" w:hAnsiTheme="majorHAnsi"/>
                <w:color w:val="FFFFFF" w:themeColor="background1"/>
                <w:sz w:val="24"/>
              </w:rPr>
              <w:t xml:space="preserve">Chair of the Asia Region Funds Passport </w:t>
            </w:r>
            <w:r w:rsidR="000601FC" w:rsidRPr="00AF6DE6">
              <w:rPr>
                <w:rFonts w:asciiTheme="majorHAnsi" w:hAnsiTheme="majorHAnsi"/>
                <w:color w:val="FFFFFF" w:themeColor="background1"/>
                <w:sz w:val="24"/>
              </w:rPr>
              <w:br/>
            </w:r>
            <w:r w:rsidRPr="00AF6DE6">
              <w:rPr>
                <w:rFonts w:asciiTheme="majorHAnsi" w:hAnsiTheme="majorHAnsi"/>
                <w:color w:val="FFFFFF" w:themeColor="background1"/>
                <w:sz w:val="24"/>
              </w:rPr>
              <w:t>Joint Committee</w:t>
            </w:r>
          </w:p>
          <w:p w14:paraId="36D4B087" w14:textId="77777777" w:rsidR="009F34FC" w:rsidRPr="00AF6DE6" w:rsidRDefault="009F34FC" w:rsidP="000B39E0">
            <w:pPr>
              <w:spacing w:after="0"/>
              <w:ind w:left="227"/>
              <w:rPr>
                <w:rFonts w:asciiTheme="majorHAnsi" w:hAnsiTheme="majorHAnsi"/>
                <w:color w:val="FFFFFF" w:themeColor="background1"/>
                <w:sz w:val="24"/>
              </w:rPr>
            </w:pPr>
            <w:r w:rsidRPr="00AF6DE6">
              <w:rPr>
                <w:rFonts w:asciiTheme="majorHAnsi" w:hAnsiTheme="majorHAnsi"/>
                <w:color w:val="FFFFFF" w:themeColor="background1"/>
                <w:sz w:val="24"/>
              </w:rPr>
              <w:t>Director for International Capital Market Regulation</w:t>
            </w:r>
          </w:p>
          <w:p w14:paraId="1884FA9F" w14:textId="77777777" w:rsidR="009F34FC" w:rsidRPr="009F34FC" w:rsidRDefault="009F34FC" w:rsidP="000B39E0">
            <w:pPr>
              <w:spacing w:after="0"/>
              <w:ind w:left="227"/>
              <w:rPr>
                <w:rFonts w:asciiTheme="majorHAnsi" w:hAnsiTheme="majorHAnsi"/>
                <w:sz w:val="24"/>
              </w:rPr>
            </w:pPr>
            <w:r w:rsidRPr="00AF6DE6">
              <w:rPr>
                <w:rFonts w:asciiTheme="majorHAnsi" w:hAnsiTheme="majorHAnsi"/>
                <w:color w:val="FFFFFF" w:themeColor="background1"/>
                <w:sz w:val="24"/>
              </w:rPr>
              <w:t>Financial Services Agency of Japan</w:t>
            </w:r>
          </w:p>
        </w:tc>
      </w:tr>
      <w:tr w:rsidR="009F34FC" w14:paraId="4F9525E7" w14:textId="77777777" w:rsidTr="00AF6DE6">
        <w:tc>
          <w:tcPr>
            <w:tcW w:w="4678" w:type="dxa"/>
            <w:shd w:val="clear" w:color="auto" w:fill="D9D9D9" w:themeFill="background1" w:themeFillShade="D9"/>
          </w:tcPr>
          <w:p w14:paraId="59420998" w14:textId="77777777" w:rsidR="009F34FC" w:rsidRPr="00914079" w:rsidRDefault="00914079" w:rsidP="00C90E06">
            <w:pPr>
              <w:spacing w:before="120" w:after="60"/>
              <w:ind w:right="170"/>
              <w:jc w:val="right"/>
              <w:rPr>
                <w:rFonts w:ascii="Arial Narrow" w:hAnsi="Arial Narrow"/>
              </w:rPr>
            </w:pPr>
            <w:r w:rsidRPr="00914079">
              <w:rPr>
                <w:rFonts w:ascii="Arial Narrow" w:hAnsi="Arial Narrow"/>
                <w:sz w:val="16"/>
                <w:lang w:val="en-US"/>
              </w:rPr>
              <w:t>Mr. Miwa (JP, center), Chair and Mr. McCarthy (Au, right) Vice Chair</w:t>
            </w:r>
          </w:p>
        </w:tc>
        <w:tc>
          <w:tcPr>
            <w:tcW w:w="4961" w:type="dxa"/>
            <w:shd w:val="clear" w:color="auto" w:fill="44546A"/>
          </w:tcPr>
          <w:p w14:paraId="5576F4AB" w14:textId="77777777" w:rsidR="009F34FC" w:rsidRDefault="009F34FC"/>
        </w:tc>
      </w:tr>
    </w:tbl>
    <w:p w14:paraId="27DBEA55" w14:textId="77777777" w:rsidR="009F34FC" w:rsidRDefault="009F34FC"/>
    <w:p w14:paraId="3AB9896F" w14:textId="77777777" w:rsidR="009F34FC" w:rsidRDefault="009F34FC">
      <w:pPr>
        <w:sectPr w:rsidR="009F34FC" w:rsidSect="00343B6F">
          <w:pgSz w:w="11906" w:h="16838"/>
          <w:pgMar w:top="1134" w:right="1134" w:bottom="1134" w:left="1134" w:header="708" w:footer="708" w:gutter="0"/>
          <w:pgNumType w:start="1"/>
          <w:cols w:space="284"/>
          <w:docGrid w:linePitch="360"/>
        </w:sectPr>
      </w:pPr>
    </w:p>
    <w:p w14:paraId="5670B7B1" w14:textId="34E47CD8" w:rsidR="00C94B03" w:rsidRDefault="00C94B03" w:rsidP="00C94B03">
      <w:r>
        <w:lastRenderedPageBreak/>
        <w:t>It is our pleasure to publish the first edition of annual reports on the Asia Region Fund</w:t>
      </w:r>
      <w:r w:rsidR="00881C52">
        <w:t>s</w:t>
      </w:r>
      <w:r>
        <w:t xml:space="preserve"> Passport</w:t>
      </w:r>
      <w:r w:rsidR="006469E9">
        <w:t xml:space="preserve"> (</w:t>
      </w:r>
      <w:r w:rsidR="009F6ED4">
        <w:t>ARFP</w:t>
      </w:r>
      <w:r w:rsidR="006469E9">
        <w:t>)</w:t>
      </w:r>
      <w:r>
        <w:t xml:space="preserve"> which covers the activities from July 2016 to June 2017 in particular. </w:t>
      </w:r>
    </w:p>
    <w:p w14:paraId="3D43D6B8" w14:textId="68BF3F49" w:rsidR="00C94B03" w:rsidRDefault="00C94B03" w:rsidP="00C94B03">
      <w:r>
        <w:t xml:space="preserve">Thanks to </w:t>
      </w:r>
      <w:r w:rsidR="00881C52">
        <w:t>each</w:t>
      </w:r>
      <w:r>
        <w:t xml:space="preserve"> </w:t>
      </w:r>
      <w:r w:rsidR="0077467F">
        <w:t>member</w:t>
      </w:r>
      <w:r w:rsidR="00C109FE">
        <w:t>’</w:t>
      </w:r>
      <w:r w:rsidR="0077467F">
        <w:t>s</w:t>
      </w:r>
      <w:r>
        <w:t xml:space="preserve"> cooperation, we have launched the first Joint Committee (JC) and </w:t>
      </w:r>
      <w:r w:rsidR="00881C52">
        <w:t>agreed</w:t>
      </w:r>
      <w:r w:rsidR="0077467F">
        <w:t xml:space="preserve"> </w:t>
      </w:r>
      <w:r>
        <w:t xml:space="preserve">that the JC will have a role as a pragmatic body for the smooth implementation of </w:t>
      </w:r>
      <w:r w:rsidR="00BD24A3">
        <w:t xml:space="preserve">the </w:t>
      </w:r>
      <w:r w:rsidR="009F6ED4">
        <w:t>ARFP</w:t>
      </w:r>
      <w:r>
        <w:t>.</w:t>
      </w:r>
    </w:p>
    <w:p w14:paraId="6E912D61" w14:textId="534ACB3A" w:rsidR="00C94B03" w:rsidRDefault="00C94B03" w:rsidP="00C94B03">
      <w:r>
        <w:t>As we have seen with the UCITS framework in Europe</w:t>
      </w:r>
      <w:r w:rsidR="00881C52">
        <w:t xml:space="preserve"> where</w:t>
      </w:r>
      <w:r>
        <w:t xml:space="preserve"> there have been historic efforts and successive developments, we can assume that we will face various challenges in the course of implementation</w:t>
      </w:r>
      <w:r w:rsidR="00C109FE">
        <w:t xml:space="preserve">. </w:t>
      </w:r>
      <w:r>
        <w:t xml:space="preserve">Under this assumption, it is key that we undertake all efforts and trials together in order to achieve feasible solutions. </w:t>
      </w:r>
    </w:p>
    <w:p w14:paraId="5286C897" w14:textId="773E9F83" w:rsidR="00C94B03" w:rsidRDefault="00881C52" w:rsidP="00C94B03">
      <w:r>
        <w:t>In the past year, w</w:t>
      </w:r>
      <w:r w:rsidR="00C94B03">
        <w:t xml:space="preserve">e have held two </w:t>
      </w:r>
      <w:r>
        <w:t xml:space="preserve">JC </w:t>
      </w:r>
      <w:r w:rsidR="00C94B03">
        <w:t>meetings</w:t>
      </w:r>
      <w:r w:rsidR="0077467F">
        <w:t xml:space="preserve"> </w:t>
      </w:r>
      <w:r w:rsidR="00C94B03">
        <w:t>and addressed issues such as fund back office processing and taxation, which will be of importance in implementation.</w:t>
      </w:r>
    </w:p>
    <w:p w14:paraId="17CA2758" w14:textId="4BD561C5" w:rsidR="00C94B03" w:rsidRDefault="00F3301D" w:rsidP="00C94B03">
      <w:r>
        <w:t>In the</w:t>
      </w:r>
      <w:r w:rsidR="00C94B03">
        <w:t xml:space="preserve"> latter half of 2017 and early 2018, member economies have planned to coordinate necessary arrangements in domestic laws and regulations. </w:t>
      </w:r>
    </w:p>
    <w:p w14:paraId="41541051" w14:textId="54149C08" w:rsidR="00C94B03" w:rsidRDefault="00C94B03" w:rsidP="00C94B03">
      <w:r>
        <w:t xml:space="preserve">As part of the implementation support provided by the JC, the following agenda </w:t>
      </w:r>
      <w:r w:rsidR="00F3301D">
        <w:t xml:space="preserve">is </w:t>
      </w:r>
      <w:r>
        <w:t>important for the coming period.</w:t>
      </w:r>
    </w:p>
    <w:p w14:paraId="756C65A5" w14:textId="3187A89D" w:rsidR="00C94B03" w:rsidRDefault="00C94B03" w:rsidP="00C94B03">
      <w:pPr>
        <w:pStyle w:val="Heading2"/>
      </w:pPr>
      <w:r>
        <w:br w:type="column"/>
      </w:r>
      <w:r>
        <w:lastRenderedPageBreak/>
        <w:t>(1)Transparency</w:t>
      </w:r>
    </w:p>
    <w:p w14:paraId="5A8468E5" w14:textId="55C5B126" w:rsidR="00C94B03" w:rsidRDefault="00C94B03" w:rsidP="00C94B03">
      <w:r>
        <w:t>The JC meeting</w:t>
      </w:r>
      <w:r w:rsidR="00F3301D">
        <w:t>s</w:t>
      </w:r>
      <w:r>
        <w:t xml:space="preserve"> </w:t>
      </w:r>
      <w:r w:rsidR="00F3301D">
        <w:t>are</w:t>
      </w:r>
      <w:r>
        <w:t xml:space="preserve"> run by the member authorities and meetings are currently being held on a closed basis. It is key to consider how </w:t>
      </w:r>
      <w:r w:rsidR="00C109FE">
        <w:t>“</w:t>
      </w:r>
      <w:r>
        <w:t>openness</w:t>
      </w:r>
      <w:r w:rsidR="00C109FE">
        <w:t>”</w:t>
      </w:r>
      <w:r>
        <w:t xml:space="preserve"> should be </w:t>
      </w:r>
      <w:r w:rsidR="00F3301D">
        <w:t>promoted</w:t>
      </w:r>
      <w:r>
        <w:t xml:space="preserve"> in running these meetings.</w:t>
      </w:r>
    </w:p>
    <w:p w14:paraId="68447513" w14:textId="1A3305C4" w:rsidR="00C94B03" w:rsidRDefault="00C94B03" w:rsidP="00C94B03">
      <w:pPr>
        <w:pStyle w:val="Heading2"/>
      </w:pPr>
      <w:r>
        <w:t>(2) Communication</w:t>
      </w:r>
    </w:p>
    <w:p w14:paraId="254C3F22" w14:textId="5847834B" w:rsidR="00C94B03" w:rsidRDefault="00C94B03" w:rsidP="00C94B03">
      <w:r>
        <w:t xml:space="preserve">Better communication will enhance smooth implementation. In carrying this out, it is key to have more dialogue with relevant communities. As </w:t>
      </w:r>
      <w:r w:rsidR="00F3301D">
        <w:t xml:space="preserve">with </w:t>
      </w:r>
      <w:r>
        <w:t xml:space="preserve">the JC meeting in </w:t>
      </w:r>
      <w:r w:rsidR="00F3301D">
        <w:t>April where</w:t>
      </w:r>
      <w:r>
        <w:t xml:space="preserve"> an industrial session</w:t>
      </w:r>
      <w:r w:rsidR="00F3301D">
        <w:t xml:space="preserve"> was held</w:t>
      </w:r>
      <w:r>
        <w:t>, we will continu</w:t>
      </w:r>
      <w:r w:rsidR="00F3301D">
        <w:t>e to</w:t>
      </w:r>
      <w:r>
        <w:t xml:space="preserve"> seek opportunities for dialogue with </w:t>
      </w:r>
      <w:r w:rsidR="00F3301D">
        <w:t xml:space="preserve">industry </w:t>
      </w:r>
      <w:r>
        <w:t xml:space="preserve">practitioners. </w:t>
      </w:r>
    </w:p>
    <w:p w14:paraId="791EBE09" w14:textId="3783DA55" w:rsidR="00C94B03" w:rsidRDefault="006469E9" w:rsidP="00C94B03">
      <w:r>
        <w:t>T</w:t>
      </w:r>
      <w:r w:rsidR="00C94B03">
        <w:t xml:space="preserve">he </w:t>
      </w:r>
      <w:r>
        <w:t xml:space="preserve">annexed </w:t>
      </w:r>
      <w:r w:rsidR="00C94B03">
        <w:t>application form (</w:t>
      </w:r>
      <w:r w:rsidR="00F3301D">
        <w:t>also known as the</w:t>
      </w:r>
      <w:r w:rsidR="00C94B03">
        <w:t xml:space="preserve"> </w:t>
      </w:r>
      <w:r w:rsidR="00C109FE">
        <w:t>“</w:t>
      </w:r>
      <w:r w:rsidR="00C94B03">
        <w:t>A</w:t>
      </w:r>
      <w:r w:rsidR="00C109FE">
        <w:noBreakHyphen/>
      </w:r>
      <w:r w:rsidR="00C94B03">
        <w:t>form</w:t>
      </w:r>
      <w:r w:rsidR="00C109FE">
        <w:t>”</w:t>
      </w:r>
      <w:r w:rsidR="00C94B03">
        <w:t>)</w:t>
      </w:r>
      <w:r>
        <w:t xml:space="preserve"> </w:t>
      </w:r>
      <w:r w:rsidR="00C94B03">
        <w:t>and the guidance paper</w:t>
      </w:r>
      <w:r>
        <w:t xml:space="preserve"> released with this report</w:t>
      </w:r>
      <w:r w:rsidR="00C94B03">
        <w:t xml:space="preserve"> </w:t>
      </w:r>
      <w:r>
        <w:t>are</w:t>
      </w:r>
      <w:r w:rsidR="00C94B03">
        <w:t xml:space="preserve"> open for</w:t>
      </w:r>
      <w:r>
        <w:t xml:space="preserve"> public</w:t>
      </w:r>
      <w:r w:rsidR="00C94B03">
        <w:t xml:space="preserve"> consultation.</w:t>
      </w:r>
    </w:p>
    <w:p w14:paraId="1C004D36" w14:textId="77777777" w:rsidR="00C94B03" w:rsidRDefault="00C94B03" w:rsidP="00C94B03">
      <w:pPr>
        <w:pStyle w:val="Heading2"/>
      </w:pPr>
      <w:r>
        <w:t>(3) Outreach</w:t>
      </w:r>
    </w:p>
    <w:p w14:paraId="529EBEC6" w14:textId="711AB265" w:rsidR="00C94B03" w:rsidRDefault="006469E9" w:rsidP="00C94B03">
      <w:r>
        <w:t xml:space="preserve">Considering the huge potential of the </w:t>
      </w:r>
      <w:r w:rsidR="009F6ED4">
        <w:t>ARFP</w:t>
      </w:r>
      <w:r>
        <w:t xml:space="preserve"> and financial sector</w:t>
      </w:r>
      <w:r w:rsidR="0077467F">
        <w:t xml:space="preserve"> developments</w:t>
      </w:r>
      <w:r>
        <w:t xml:space="preserve"> in this region, f</w:t>
      </w:r>
      <w:r w:rsidR="00C94B03">
        <w:t>urther cooperation with Asia Pacific communities will be of importance</w:t>
      </w:r>
      <w:r w:rsidR="00C109FE">
        <w:t xml:space="preserve">. </w:t>
      </w:r>
      <w:r w:rsidR="00C94B03">
        <w:t xml:space="preserve">In understanding this, it is of the utmost importance to reach out to other member economies to </w:t>
      </w:r>
      <w:r>
        <w:t xml:space="preserve">encourage </w:t>
      </w:r>
      <w:r w:rsidR="00C94B03">
        <w:t>access</w:t>
      </w:r>
      <w:r>
        <w:t xml:space="preserve"> to</w:t>
      </w:r>
      <w:r w:rsidR="00C94B03">
        <w:t xml:space="preserve"> our framework</w:t>
      </w:r>
      <w:r>
        <w:t>s</w:t>
      </w:r>
      <w:r w:rsidR="00C94B03">
        <w:t>.</w:t>
      </w:r>
    </w:p>
    <w:p w14:paraId="2F19BF1C" w14:textId="6F7AA57A" w:rsidR="00133F24" w:rsidRDefault="00C94B03" w:rsidP="00C94B03">
      <w:r>
        <w:t xml:space="preserve">Last but not least, I sincerely hope to develop the </w:t>
      </w:r>
      <w:r w:rsidR="009F6ED4">
        <w:t>ARFP</w:t>
      </w:r>
      <w:r>
        <w:t xml:space="preserve"> more extensively and to ensure the first export fund </w:t>
      </w:r>
      <w:r w:rsidR="006469E9">
        <w:t xml:space="preserve">launches </w:t>
      </w:r>
      <w:r>
        <w:t>smoothly through this framework.</w:t>
      </w:r>
    </w:p>
    <w:p w14:paraId="09C56247" w14:textId="77777777" w:rsidR="00133F24" w:rsidRDefault="00133F24" w:rsidP="000601FC">
      <w:pPr>
        <w:sectPr w:rsidR="00133F24" w:rsidSect="009F34FC">
          <w:type w:val="continuous"/>
          <w:pgSz w:w="11906" w:h="16838"/>
          <w:pgMar w:top="1134" w:right="1134" w:bottom="1134" w:left="1134" w:header="708" w:footer="708" w:gutter="0"/>
          <w:cols w:num="2" w:space="284"/>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546A"/>
        <w:tblLayout w:type="fixed"/>
        <w:tblCellMar>
          <w:left w:w="0" w:type="dxa"/>
          <w:right w:w="0" w:type="dxa"/>
        </w:tblCellMar>
        <w:tblLook w:val="04A0" w:firstRow="1" w:lastRow="0" w:firstColumn="1" w:lastColumn="0" w:noHBand="0" w:noVBand="1"/>
      </w:tblPr>
      <w:tblGrid>
        <w:gridCol w:w="9639"/>
      </w:tblGrid>
      <w:tr w:rsidR="00133F24" w:rsidRPr="009F34FC" w14:paraId="6C489BD0" w14:textId="77777777" w:rsidTr="00AF6DE6">
        <w:trPr>
          <w:trHeight w:val="1020"/>
        </w:trPr>
        <w:tc>
          <w:tcPr>
            <w:tcW w:w="9639" w:type="dxa"/>
            <w:shd w:val="clear" w:color="auto" w:fill="44546A"/>
            <w:vAlign w:val="center"/>
          </w:tcPr>
          <w:p w14:paraId="7457EDBF" w14:textId="77777777" w:rsidR="00133F24" w:rsidRPr="009F34FC" w:rsidRDefault="00133F24" w:rsidP="00E01871">
            <w:pPr>
              <w:pStyle w:val="Heading1"/>
              <w:ind w:left="227"/>
              <w:rPr>
                <w:sz w:val="24"/>
              </w:rPr>
            </w:pPr>
            <w:r w:rsidRPr="00133F24">
              <w:lastRenderedPageBreak/>
              <w:t>General Information</w:t>
            </w:r>
          </w:p>
        </w:tc>
      </w:tr>
    </w:tbl>
    <w:p w14:paraId="388E7C44" w14:textId="77777777" w:rsidR="00133F24" w:rsidRDefault="00133F24" w:rsidP="000601FC"/>
    <w:p w14:paraId="4D42005D" w14:textId="77777777" w:rsidR="00133F24" w:rsidRDefault="00133F24" w:rsidP="000601FC">
      <w:pPr>
        <w:sectPr w:rsidR="00133F24" w:rsidSect="00133F24">
          <w:pgSz w:w="11906" w:h="16838"/>
          <w:pgMar w:top="1134" w:right="1134" w:bottom="1134" w:left="1134" w:header="708" w:footer="708" w:gutter="0"/>
          <w:cols w:space="284"/>
          <w:docGrid w:linePitch="360"/>
        </w:sectPr>
      </w:pPr>
    </w:p>
    <w:p w14:paraId="42E71AAA" w14:textId="4396318A" w:rsidR="00C94B03" w:rsidRPr="00C94B03" w:rsidRDefault="00C94B03" w:rsidP="00C94B03">
      <w:pPr>
        <w:pStyle w:val="Heading2"/>
      </w:pPr>
      <w:r w:rsidRPr="00C94B03">
        <w:t xml:space="preserve">What is the </w:t>
      </w:r>
      <w:r w:rsidR="009F6ED4">
        <w:t>ARFP</w:t>
      </w:r>
      <w:r w:rsidRPr="00C94B03">
        <w:t>?</w:t>
      </w:r>
    </w:p>
    <w:p w14:paraId="36F6B3BA" w14:textId="0655FC36" w:rsidR="00C94B03" w:rsidRPr="00C94B03" w:rsidRDefault="00C94B03" w:rsidP="00C94B03">
      <w:r w:rsidRPr="00C94B03">
        <w:t xml:space="preserve">The </w:t>
      </w:r>
      <w:r w:rsidR="009F6ED4">
        <w:t>ARFP</w:t>
      </w:r>
      <w:r w:rsidRPr="00C94B03">
        <w:t xml:space="preserve"> is an international initiative that facilitates the cross</w:t>
      </w:r>
      <w:r w:rsidR="00C109FE">
        <w:noBreakHyphen/>
      </w:r>
      <w:r w:rsidRPr="00C94B03">
        <w:t xml:space="preserve">border offering of eligible collective investment schemes while ensuring investor protection in economies participating in the </w:t>
      </w:r>
      <w:r w:rsidR="009F6ED4">
        <w:t>ARFP</w:t>
      </w:r>
      <w:r w:rsidRPr="00C94B03">
        <w:t>.</w:t>
      </w:r>
    </w:p>
    <w:p w14:paraId="3159BF23" w14:textId="7F26F2B5" w:rsidR="00C94B03" w:rsidRPr="00C94B03" w:rsidRDefault="00C94B03" w:rsidP="00C94B03">
      <w:r w:rsidRPr="00C94B03">
        <w:t>In joining in the Memorandum of Co</w:t>
      </w:r>
      <w:r w:rsidR="00C109FE">
        <w:noBreakHyphen/>
      </w:r>
      <w:r w:rsidRPr="00C94B03">
        <w:t>operation</w:t>
      </w:r>
      <w:r w:rsidR="006469E9">
        <w:t xml:space="preserve"> (</w:t>
      </w:r>
      <w:proofErr w:type="spellStart"/>
      <w:r w:rsidR="006469E9">
        <w:t>MoC</w:t>
      </w:r>
      <w:proofErr w:type="spellEnd"/>
      <w:r w:rsidR="006469E9">
        <w:t>)</w:t>
      </w:r>
      <w:r w:rsidRPr="00C94B03">
        <w:t xml:space="preserve"> for the </w:t>
      </w:r>
      <w:r w:rsidR="009F6ED4">
        <w:t>ARFP</w:t>
      </w:r>
      <w:r w:rsidRPr="00C94B03">
        <w:t xml:space="preserve">, </w:t>
      </w:r>
      <w:r w:rsidR="006469E9">
        <w:t>p</w:t>
      </w:r>
      <w:r w:rsidRPr="00C94B03">
        <w:t>articipants share the goals of:</w:t>
      </w:r>
    </w:p>
    <w:p w14:paraId="5B067003" w14:textId="5E5D2A8A" w:rsidR="00C94B03" w:rsidRPr="00C94B03" w:rsidRDefault="00C94B03" w:rsidP="00C94B03">
      <w:pPr>
        <w:pStyle w:val="ListParagraph"/>
        <w:ind w:left="1134" w:hanging="567"/>
      </w:pPr>
      <w:proofErr w:type="spellStart"/>
      <w:r w:rsidRPr="00C94B03">
        <w:t>i</w:t>
      </w:r>
      <w:proofErr w:type="spellEnd"/>
      <w:r w:rsidRPr="00C94B03">
        <w:t>.</w:t>
      </w:r>
      <w:r w:rsidRPr="00C94B03">
        <w:tab/>
        <w:t>deepening the region</w:t>
      </w:r>
      <w:r w:rsidR="00C109FE">
        <w:t>’</w:t>
      </w:r>
      <w:r w:rsidRPr="00C94B03">
        <w:t>s capital markets to attract finance for economic growth in the region;</w:t>
      </w:r>
    </w:p>
    <w:p w14:paraId="21041C2D" w14:textId="355F3859" w:rsidR="00C94B03" w:rsidRPr="00C94B03" w:rsidRDefault="00C94B03" w:rsidP="00C94B03">
      <w:pPr>
        <w:pStyle w:val="ListParagraph"/>
        <w:ind w:left="1134" w:hanging="567"/>
      </w:pPr>
      <w:r w:rsidRPr="00C94B03">
        <w:t>ii.</w:t>
      </w:r>
      <w:r w:rsidRPr="00C94B03">
        <w:tab/>
        <w:t>strengthening the capacity, expertise and international competitiveness of financial markets in the region and the funds management industry, with a view to supporting sound economic development;</w:t>
      </w:r>
    </w:p>
    <w:p w14:paraId="35B9B234" w14:textId="28554751" w:rsidR="00C94B03" w:rsidRPr="00C94B03" w:rsidRDefault="00C94B03" w:rsidP="00C94B03">
      <w:pPr>
        <w:pStyle w:val="ListParagraph"/>
        <w:ind w:left="1134" w:hanging="567"/>
      </w:pPr>
      <w:r w:rsidRPr="00C94B03">
        <w:t>iii.</w:t>
      </w:r>
      <w:r w:rsidRPr="00C94B03">
        <w:tab/>
        <w:t>facilitating the channelling of the region</w:t>
      </w:r>
      <w:r w:rsidR="00C109FE">
        <w:t>’</w:t>
      </w:r>
      <w:r w:rsidRPr="00C94B03">
        <w:t xml:space="preserve">s savings within the region, and growing the pool of funds available for investment in the region; </w:t>
      </w:r>
    </w:p>
    <w:p w14:paraId="2FF65626" w14:textId="510BA617" w:rsidR="00C94B03" w:rsidRPr="00C94B03" w:rsidRDefault="00C94B03" w:rsidP="00C94B03">
      <w:pPr>
        <w:pStyle w:val="ListParagraph"/>
        <w:ind w:left="1134" w:hanging="567"/>
      </w:pPr>
      <w:r w:rsidRPr="00C94B03">
        <w:t>iv.</w:t>
      </w:r>
      <w:r w:rsidRPr="00C94B03">
        <w:tab/>
        <w:t>providing investors in each of the economies with a more diverse range of investment opportunities, enabling them to better manage their portfolio and meet their investment objectives; and</w:t>
      </w:r>
    </w:p>
    <w:p w14:paraId="1853C0CE" w14:textId="5567A2B0" w:rsidR="00C94B03" w:rsidRPr="00C94B03" w:rsidRDefault="00C94B03" w:rsidP="00C94B03">
      <w:pPr>
        <w:pStyle w:val="ListParagraph"/>
        <w:ind w:left="1134" w:hanging="567"/>
      </w:pPr>
      <w:r w:rsidRPr="00C94B03">
        <w:t>v.</w:t>
      </w:r>
      <w:r w:rsidRPr="00C94B03">
        <w:tab/>
        <w:t>maintaining the legal and regulatory frameworks which promote investor protection, fair, efficient and transparent markets for financial services, supporting financial stability and providing high standards in the management and distribution of collective investment schemes</w:t>
      </w:r>
      <w:r w:rsidR="0077467F">
        <w:t>.</w:t>
      </w:r>
    </w:p>
    <w:p w14:paraId="2222E154" w14:textId="77777777" w:rsidR="00C94B03" w:rsidRPr="00C94B03" w:rsidRDefault="00C94B03" w:rsidP="00C94B03">
      <w:pPr>
        <w:pStyle w:val="Heading2"/>
      </w:pPr>
      <w:r w:rsidRPr="00C94B03">
        <w:t>Biography</w:t>
      </w:r>
    </w:p>
    <w:p w14:paraId="2F2B1BE6" w14:textId="11EA6A30" w:rsidR="00C94B03" w:rsidRPr="00C94B03" w:rsidRDefault="00C94B03" w:rsidP="00C94B03">
      <w:pPr>
        <w:ind w:left="1418" w:hanging="1418"/>
      </w:pPr>
      <w:r w:rsidRPr="00C94B03">
        <w:t>Sep 2015</w:t>
      </w:r>
      <w:r w:rsidRPr="00C94B03">
        <w:tab/>
        <w:t xml:space="preserve">Signing of the statement of understanding on the establishment of the </w:t>
      </w:r>
      <w:r w:rsidR="009F6ED4">
        <w:t>ARFP</w:t>
      </w:r>
      <w:r w:rsidRPr="00C94B03">
        <w:t xml:space="preserve"> at the APEC Finance Ministers</w:t>
      </w:r>
      <w:r w:rsidR="00C109FE">
        <w:t>’</w:t>
      </w:r>
      <w:r w:rsidRPr="00C94B03">
        <w:t xml:space="preserve"> Meeting.</w:t>
      </w:r>
    </w:p>
    <w:p w14:paraId="23DA0BDE" w14:textId="15A5FF67" w:rsidR="00C94B03" w:rsidRPr="00C94B03" w:rsidRDefault="00C94B03" w:rsidP="00C94B03">
      <w:pPr>
        <w:ind w:left="1418"/>
      </w:pPr>
      <w:r w:rsidRPr="00C94B03">
        <w:t xml:space="preserve">*Six </w:t>
      </w:r>
      <w:r w:rsidR="00924853">
        <w:t>economies</w:t>
      </w:r>
      <w:r w:rsidRPr="00C94B03">
        <w:t xml:space="preserve"> signed: Japan, Australia, Korea, New Zealand, the Philippines</w:t>
      </w:r>
      <w:r w:rsidR="0077467F">
        <w:t xml:space="preserve"> </w:t>
      </w:r>
      <w:r w:rsidRPr="00C94B03">
        <w:t xml:space="preserve">and Thailand. </w:t>
      </w:r>
    </w:p>
    <w:p w14:paraId="23003723" w14:textId="6A752ADD" w:rsidR="00C94B03" w:rsidRPr="00C94B03" w:rsidRDefault="00C94B03" w:rsidP="00C94B03">
      <w:pPr>
        <w:ind w:left="1418" w:hanging="1418"/>
      </w:pPr>
      <w:r w:rsidRPr="00C94B03">
        <w:t>Apr 2016</w:t>
      </w:r>
      <w:r w:rsidRPr="00C94B03">
        <w:tab/>
        <w:t xml:space="preserve">Signing of the </w:t>
      </w:r>
      <w:proofErr w:type="spellStart"/>
      <w:r w:rsidR="006469E9">
        <w:t>MoC</w:t>
      </w:r>
      <w:proofErr w:type="spellEnd"/>
      <w:r w:rsidR="006469E9">
        <w:t>:</w:t>
      </w:r>
      <w:r w:rsidRPr="00C94B03">
        <w:t xml:space="preserve"> Japan, Australia, Korea, New Zealand</w:t>
      </w:r>
      <w:r w:rsidR="00C109FE">
        <w:t xml:space="preserve">. </w:t>
      </w:r>
    </w:p>
    <w:p w14:paraId="5A4FEE17" w14:textId="6F10168D" w:rsidR="00C94B03" w:rsidRPr="00C94B03" w:rsidRDefault="00C94B03" w:rsidP="00C94B03">
      <w:pPr>
        <w:ind w:left="1418"/>
      </w:pPr>
      <w:r w:rsidRPr="00C94B03">
        <w:t xml:space="preserve">*Thailand also signed the </w:t>
      </w:r>
      <w:proofErr w:type="spellStart"/>
      <w:r w:rsidRPr="00C94B03">
        <w:t>M</w:t>
      </w:r>
      <w:r w:rsidR="006469E9">
        <w:t>oC</w:t>
      </w:r>
      <w:proofErr w:type="spellEnd"/>
      <w:r w:rsidRPr="00C94B03">
        <w:t xml:space="preserve"> in June. </w:t>
      </w:r>
    </w:p>
    <w:p w14:paraId="588EEC09" w14:textId="573E2199" w:rsidR="00C94B03" w:rsidRPr="00C94B03" w:rsidRDefault="00C94B03" w:rsidP="00C94B03">
      <w:pPr>
        <w:ind w:left="1418" w:hanging="1418"/>
      </w:pPr>
      <w:r w:rsidRPr="00C94B03">
        <w:t>Jun 2016</w:t>
      </w:r>
      <w:r w:rsidRPr="00C94B03">
        <w:tab/>
        <w:t xml:space="preserve">The </w:t>
      </w:r>
      <w:proofErr w:type="spellStart"/>
      <w:r w:rsidR="006469E9">
        <w:t>MoC</w:t>
      </w:r>
      <w:proofErr w:type="spellEnd"/>
      <w:r w:rsidRPr="00C94B03">
        <w:t xml:space="preserve"> entered into force</w:t>
      </w:r>
      <w:r w:rsidR="006469E9">
        <w:t>.</w:t>
      </w:r>
      <w:r w:rsidRPr="00C94B03">
        <w:t xml:space="preserve"> </w:t>
      </w:r>
    </w:p>
    <w:p w14:paraId="7E01E7FD" w14:textId="61CEB9AE" w:rsidR="00C94B03" w:rsidRPr="00C94B03" w:rsidRDefault="00C94B03" w:rsidP="00C94B03">
      <w:pPr>
        <w:ind w:left="1418"/>
      </w:pPr>
      <w:r w:rsidRPr="00C94B03">
        <w:t xml:space="preserve">*The </w:t>
      </w:r>
      <w:r w:rsidR="009F6ED4">
        <w:t>ARFP</w:t>
      </w:r>
      <w:r w:rsidRPr="00C94B03">
        <w:t xml:space="preserve"> will commence once any two economies have completed the implementation process and the signatories to the </w:t>
      </w:r>
      <w:proofErr w:type="spellStart"/>
      <w:r w:rsidR="006469E9" w:rsidRPr="00C94B03">
        <w:t>M</w:t>
      </w:r>
      <w:r w:rsidR="006469E9">
        <w:t>oC</w:t>
      </w:r>
      <w:proofErr w:type="spellEnd"/>
      <w:r w:rsidR="006469E9">
        <w:t xml:space="preserve"> </w:t>
      </w:r>
      <w:r w:rsidRPr="00C94B03">
        <w:t>to implement the necessary domestic arrangements by</w:t>
      </w:r>
      <w:r w:rsidR="006469E9">
        <w:t xml:space="preserve"> the</w:t>
      </w:r>
      <w:r w:rsidRPr="00C94B03">
        <w:t xml:space="preserve"> end</w:t>
      </w:r>
      <w:r w:rsidR="006469E9">
        <w:t xml:space="preserve"> of</w:t>
      </w:r>
      <w:r w:rsidR="0077467F">
        <w:t xml:space="preserve"> </w:t>
      </w:r>
      <w:r w:rsidRPr="00C94B03">
        <w:t>2017.</w:t>
      </w:r>
    </w:p>
    <w:p w14:paraId="38A3AA52" w14:textId="310E5558" w:rsidR="00C94B03" w:rsidRPr="00C94B03" w:rsidRDefault="00C94B03" w:rsidP="00C94B03">
      <w:pPr>
        <w:ind w:left="1418" w:hanging="1418"/>
      </w:pPr>
      <w:r w:rsidRPr="00C94B03">
        <w:t>Nov 2016</w:t>
      </w:r>
      <w:r w:rsidRPr="00C94B03">
        <w:tab/>
        <w:t xml:space="preserve">The </w:t>
      </w:r>
      <w:r w:rsidR="009F6ED4">
        <w:t>ARFP</w:t>
      </w:r>
      <w:r w:rsidRPr="00C94B03">
        <w:t xml:space="preserve"> </w:t>
      </w:r>
      <w:r w:rsidR="006469E9">
        <w:t>JC</w:t>
      </w:r>
      <w:r w:rsidR="00C109FE">
        <w:t>’</w:t>
      </w:r>
      <w:r w:rsidR="006469E9">
        <w:t>s</w:t>
      </w:r>
      <w:r w:rsidRPr="00C94B03">
        <w:t xml:space="preserve"> first face</w:t>
      </w:r>
      <w:r w:rsidR="00C109FE">
        <w:noBreakHyphen/>
      </w:r>
      <w:r w:rsidRPr="00C94B03">
        <w:t>to</w:t>
      </w:r>
      <w:r w:rsidR="00C109FE">
        <w:noBreakHyphen/>
      </w:r>
      <w:r w:rsidRPr="00C94B03">
        <w:t>face meeting in Kuala Lumpur, Malaysia.</w:t>
      </w:r>
    </w:p>
    <w:p w14:paraId="6229F6EE" w14:textId="51EAFC0C" w:rsidR="00866105" w:rsidRPr="00C94B03" w:rsidRDefault="00C94B03" w:rsidP="00C94B03">
      <w:pPr>
        <w:ind w:left="1418" w:hanging="1418"/>
      </w:pPr>
      <w:r w:rsidRPr="00C94B03">
        <w:t>Apr 2017</w:t>
      </w:r>
      <w:r w:rsidRPr="00C94B03">
        <w:tab/>
        <w:t xml:space="preserve">The </w:t>
      </w:r>
      <w:r w:rsidR="009F6ED4">
        <w:t>ARFP</w:t>
      </w:r>
      <w:r w:rsidRPr="00C94B03">
        <w:t xml:space="preserve"> </w:t>
      </w:r>
      <w:r w:rsidR="006469E9">
        <w:t>JC</w:t>
      </w:r>
      <w:r w:rsidR="00C109FE">
        <w:t>’</w:t>
      </w:r>
      <w:r w:rsidR="006469E9">
        <w:t>s</w:t>
      </w:r>
      <w:r w:rsidRPr="00C94B03">
        <w:t xml:space="preserve"> second face</w:t>
      </w:r>
      <w:r w:rsidR="00C109FE">
        <w:noBreakHyphen/>
      </w:r>
      <w:r w:rsidRPr="00C94B03">
        <w:t>to</w:t>
      </w:r>
      <w:r w:rsidR="00C109FE">
        <w:noBreakHyphen/>
      </w:r>
      <w:r w:rsidRPr="00C94B03">
        <w:t>face meeting in Tokyo, Japan.</w:t>
      </w:r>
    </w:p>
    <w:p w14:paraId="7EF2ED63" w14:textId="77777777" w:rsidR="00866105" w:rsidRDefault="00866105" w:rsidP="00866105">
      <w:pPr>
        <w:tabs>
          <w:tab w:val="left" w:pos="1560"/>
        </w:tabs>
        <w:ind w:left="1418" w:hanging="1418"/>
        <w:sectPr w:rsidR="00866105" w:rsidSect="00133F24">
          <w:type w:val="continuous"/>
          <w:pgSz w:w="11906" w:h="16838"/>
          <w:pgMar w:top="1134" w:right="1134" w:bottom="1134" w:left="1134" w:header="708" w:footer="708" w:gutter="0"/>
          <w:cols w:space="284"/>
          <w:docGrid w:linePitch="360"/>
        </w:sectPr>
      </w:pPr>
    </w:p>
    <w:p w14:paraId="0468E1D7" w14:textId="6EC7527D" w:rsidR="00C94B03" w:rsidRDefault="009F6ED4" w:rsidP="00C94B03">
      <w:pPr>
        <w:pStyle w:val="Heading2"/>
      </w:pPr>
      <w:r>
        <w:t>ARFP</w:t>
      </w:r>
      <w:r w:rsidR="00C94B03">
        <w:t xml:space="preserve"> Investor Protection</w:t>
      </w:r>
    </w:p>
    <w:p w14:paraId="78F821E1" w14:textId="7BB7529F" w:rsidR="006469E9" w:rsidRDefault="00C94B03" w:rsidP="00C94B03">
      <w:r>
        <w:t xml:space="preserve">Using this framework, when </w:t>
      </w:r>
      <w:r w:rsidR="006469E9">
        <w:t>a</w:t>
      </w:r>
      <w:r>
        <w:t xml:space="preserve"> fund is exported to other participating </w:t>
      </w:r>
      <w:r w:rsidR="00776F64">
        <w:t>economy</w:t>
      </w:r>
      <w:r>
        <w:t>, the fund must comply with</w:t>
      </w:r>
      <w:r w:rsidR="006469E9">
        <w:t>:</w:t>
      </w:r>
      <w:r>
        <w:t xml:space="preserve"> </w:t>
      </w:r>
    </w:p>
    <w:p w14:paraId="694DC9E5" w14:textId="323FDC65" w:rsidR="006469E9" w:rsidRDefault="00C94B03" w:rsidP="00797FC8">
      <w:pPr>
        <w:pStyle w:val="Bullet"/>
      </w:pPr>
      <w:r w:rsidRPr="00C94B03">
        <w:t>the</w:t>
      </w:r>
      <w:r>
        <w:t xml:space="preserve"> regulations of the home economy in which fund is registered as a</w:t>
      </w:r>
      <w:r w:rsidR="009F6ED4">
        <w:t>n</w:t>
      </w:r>
      <w:r>
        <w:t xml:space="preserve"> </w:t>
      </w:r>
      <w:r w:rsidR="009F6ED4">
        <w:t>ARFP</w:t>
      </w:r>
      <w:r>
        <w:t xml:space="preserve"> fund</w:t>
      </w:r>
      <w:r w:rsidR="006469E9">
        <w:t>;</w:t>
      </w:r>
    </w:p>
    <w:p w14:paraId="1476DBFB" w14:textId="4DCCB5CC" w:rsidR="006469E9" w:rsidRDefault="00C94B03" w:rsidP="00797FC8">
      <w:pPr>
        <w:pStyle w:val="Bullet"/>
      </w:pPr>
      <w:r>
        <w:t>applicable regulations applying in relation to the offer of the fund in any host economy</w:t>
      </w:r>
      <w:r w:rsidR="006469E9">
        <w:t>;</w:t>
      </w:r>
      <w:r>
        <w:t xml:space="preserve"> and</w:t>
      </w:r>
    </w:p>
    <w:p w14:paraId="28F81775" w14:textId="58018990" w:rsidR="006469E9" w:rsidRDefault="00C94B03" w:rsidP="00797FC8">
      <w:pPr>
        <w:pStyle w:val="Bullet"/>
      </w:pPr>
      <w:r>
        <w:t xml:space="preserve">the </w:t>
      </w:r>
      <w:r w:rsidR="009F6ED4">
        <w:t>ARFP</w:t>
      </w:r>
      <w:r>
        <w:t xml:space="preserve"> rules. </w:t>
      </w:r>
    </w:p>
    <w:p w14:paraId="2781858B" w14:textId="085C859A" w:rsidR="00C94B03" w:rsidRDefault="00C94B03" w:rsidP="00797FC8">
      <w:pPr>
        <w:pStyle w:val="Bullet"/>
        <w:numPr>
          <w:ilvl w:val="0"/>
          <w:numId w:val="0"/>
        </w:numPr>
      </w:pPr>
      <w:r>
        <w:t xml:space="preserve">This is expected to </w:t>
      </w:r>
      <w:r w:rsidR="006469E9">
        <w:t>promote</w:t>
      </w:r>
      <w:r>
        <w:t xml:space="preserve"> a high level of investor protection measures.</w:t>
      </w:r>
    </w:p>
    <w:p w14:paraId="1B4D2D1E" w14:textId="77777777" w:rsidR="00866105" w:rsidRDefault="00866105" w:rsidP="00866105">
      <w:pPr>
        <w:tabs>
          <w:tab w:val="left" w:pos="1560"/>
        </w:tabs>
        <w:spacing w:before="240" w:after="240"/>
        <w:ind w:left="1418" w:hanging="1418"/>
      </w:pPr>
      <w:r>
        <w:rPr>
          <w:noProof/>
          <w:lang w:eastAsia="en-AU"/>
        </w:rPr>
        <w:drawing>
          <wp:inline distT="0" distB="0" distL="0" distR="0" wp14:anchorId="668DC654" wp14:editId="67FE6E89">
            <wp:extent cx="5512039" cy="351303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2039" cy="35130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6918EA6D" w14:textId="79B93277" w:rsidR="006C692C" w:rsidRPr="006C692C" w:rsidRDefault="009F6ED4" w:rsidP="006C692C">
      <w:pPr>
        <w:pStyle w:val="Heading2"/>
      </w:pPr>
      <w:r>
        <w:t>ARFP</w:t>
      </w:r>
      <w:r w:rsidR="006C692C" w:rsidRPr="006C692C">
        <w:t xml:space="preserve"> Framework</w:t>
      </w:r>
    </w:p>
    <w:p w14:paraId="48DB55BB" w14:textId="01E06C69" w:rsidR="006C692C" w:rsidRDefault="006C692C" w:rsidP="006C692C">
      <w:r w:rsidRPr="006C692C">
        <w:t xml:space="preserve">Efforts are made to unify the mutual entry processes for funds that are managed in accordance with rules agreed upon between securities regulating authorities. </w:t>
      </w:r>
    </w:p>
    <w:p w14:paraId="1842796B" w14:textId="486762ED" w:rsidR="00866105" w:rsidRDefault="00096B74" w:rsidP="006C692C">
      <w:r>
        <w:t>Broadly speaking</w:t>
      </w:r>
      <w:r w:rsidR="006C692C" w:rsidRPr="006C692C">
        <w:t>, when exporting investment trusts, it is necessary to prepare application documents that are compliant with the regulations of</w:t>
      </w:r>
      <w:r>
        <w:t xml:space="preserve"> the </w:t>
      </w:r>
      <w:r w:rsidR="006C692C" w:rsidRPr="006C692C">
        <w:t>export destination country</w:t>
      </w:r>
      <w:r>
        <w:t>.</w:t>
      </w:r>
      <w:r w:rsidR="006C692C" w:rsidRPr="006C692C">
        <w:t xml:space="preserve"> </w:t>
      </w:r>
      <w:r>
        <w:t>T</w:t>
      </w:r>
      <w:r w:rsidR="006C692C" w:rsidRPr="006C692C">
        <w:t xml:space="preserve">he procedures are complex with different </w:t>
      </w:r>
      <w:r>
        <w:t>assessment</w:t>
      </w:r>
      <w:r w:rsidR="006C692C" w:rsidRPr="006C692C">
        <w:t xml:space="preserve"> periods. However, under the </w:t>
      </w:r>
      <w:r w:rsidR="009F6ED4">
        <w:t>ARFP</w:t>
      </w:r>
      <w:r w:rsidR="006C692C" w:rsidRPr="006C692C">
        <w:t xml:space="preserve"> framework, if funds are invested in accordance with </w:t>
      </w:r>
      <w:r w:rsidR="009F6ED4">
        <w:t>ARFP</w:t>
      </w:r>
      <w:r w:rsidR="006C692C" w:rsidRPr="006C692C">
        <w:t xml:space="preserve"> rules, </w:t>
      </w:r>
      <w:r>
        <w:t>relevant</w:t>
      </w:r>
      <w:r w:rsidR="006C692C" w:rsidRPr="006C692C">
        <w:t xml:space="preserve"> authorities from </w:t>
      </w:r>
      <w:r>
        <w:t>the export destination</w:t>
      </w:r>
      <w:r w:rsidR="006C692C" w:rsidRPr="006C692C">
        <w:t xml:space="preserve"> </w:t>
      </w:r>
      <w:r w:rsidR="00776F64">
        <w:t>economy</w:t>
      </w:r>
      <w:r w:rsidR="006C692C" w:rsidRPr="006C692C">
        <w:t xml:space="preserve"> are required to </w:t>
      </w:r>
      <w:r>
        <w:t>make an assessment of whether to accept the fund</w:t>
      </w:r>
      <w:r w:rsidR="006C692C" w:rsidRPr="006C692C">
        <w:t xml:space="preserve"> within 21 days in principle.</w:t>
      </w:r>
    </w:p>
    <w:p w14:paraId="4938C8E0" w14:textId="77777777" w:rsidR="00866105" w:rsidRDefault="00866105" w:rsidP="00866105">
      <w:pPr>
        <w:tabs>
          <w:tab w:val="left" w:pos="1560"/>
        </w:tabs>
        <w:ind w:left="1418" w:hanging="1418"/>
        <w:sectPr w:rsidR="00866105" w:rsidSect="00866105">
          <w:pgSz w:w="11906" w:h="16838"/>
          <w:pgMar w:top="1134" w:right="1134" w:bottom="1134" w:left="1134" w:header="708" w:footer="708" w:gutter="0"/>
          <w:cols w:space="284"/>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78"/>
        <w:gridCol w:w="4961"/>
      </w:tblGrid>
      <w:tr w:rsidR="00AF6DE6" w:rsidRPr="00AF6DE6" w14:paraId="4751B474" w14:textId="77777777" w:rsidTr="00AF6DE6">
        <w:trPr>
          <w:trHeight w:val="1361"/>
        </w:trPr>
        <w:tc>
          <w:tcPr>
            <w:tcW w:w="4678" w:type="dxa"/>
            <w:shd w:val="clear" w:color="auto" w:fill="D9D9D9" w:themeFill="background1" w:themeFillShade="D9"/>
          </w:tcPr>
          <w:p w14:paraId="227F0C66" w14:textId="77777777" w:rsidR="00866105" w:rsidRPr="009F34FC" w:rsidRDefault="000B39E0" w:rsidP="00881C52">
            <w:pPr>
              <w:spacing w:after="100" w:afterAutospacing="1"/>
              <w:contextualSpacing/>
            </w:pPr>
            <w:r w:rsidRPr="000B39E0">
              <w:rPr>
                <w:noProof/>
                <w:lang w:eastAsia="en-AU"/>
              </w:rPr>
              <w:drawing>
                <wp:inline distT="0" distB="0" distL="0" distR="0" wp14:anchorId="26E37ECC" wp14:editId="008429B6">
                  <wp:extent cx="3019425" cy="2212709"/>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2409" cy="2214896"/>
                          </a:xfrm>
                          <a:prstGeom prst="rect">
                            <a:avLst/>
                          </a:prstGeom>
                          <a:noFill/>
                          <a:ln>
                            <a:noFill/>
                          </a:ln>
                          <a:extLst/>
                        </pic:spPr>
                      </pic:pic>
                    </a:graphicData>
                  </a:graphic>
                </wp:inline>
              </w:drawing>
            </w:r>
          </w:p>
        </w:tc>
        <w:tc>
          <w:tcPr>
            <w:tcW w:w="4961" w:type="dxa"/>
            <w:shd w:val="clear" w:color="auto" w:fill="44546A"/>
          </w:tcPr>
          <w:p w14:paraId="7F0B626B" w14:textId="77777777" w:rsidR="00866105" w:rsidRPr="00AF6DE6" w:rsidRDefault="00866105" w:rsidP="00703372">
            <w:pPr>
              <w:pStyle w:val="Heading1"/>
              <w:spacing w:before="360" w:after="360"/>
              <w:ind w:left="227"/>
            </w:pPr>
            <w:r w:rsidRPr="00AF6DE6">
              <w:t>Summary of JC Meeting</w:t>
            </w:r>
          </w:p>
          <w:p w14:paraId="72CB9A01" w14:textId="3E9A9D53" w:rsidR="00866105" w:rsidRPr="00AF6DE6" w:rsidRDefault="00866105" w:rsidP="000B39E0">
            <w:pPr>
              <w:ind w:left="227"/>
              <w:rPr>
                <w:rFonts w:asciiTheme="majorHAnsi" w:hAnsiTheme="majorHAnsi"/>
                <w:color w:val="FFFFFF" w:themeColor="background1"/>
              </w:rPr>
            </w:pPr>
            <w:r w:rsidRPr="00AF6DE6">
              <w:rPr>
                <w:rFonts w:asciiTheme="majorHAnsi" w:hAnsiTheme="majorHAnsi"/>
                <w:color w:val="FFFFFF" w:themeColor="background1"/>
              </w:rPr>
              <w:t>First Face</w:t>
            </w:r>
            <w:r w:rsidR="00C109FE">
              <w:rPr>
                <w:rFonts w:asciiTheme="majorHAnsi" w:hAnsiTheme="majorHAnsi"/>
                <w:color w:val="FFFFFF" w:themeColor="background1"/>
              </w:rPr>
              <w:noBreakHyphen/>
            </w:r>
            <w:r w:rsidRPr="00AF6DE6">
              <w:rPr>
                <w:rFonts w:asciiTheme="majorHAnsi" w:hAnsiTheme="majorHAnsi"/>
                <w:color w:val="FFFFFF" w:themeColor="background1"/>
              </w:rPr>
              <w:t>to</w:t>
            </w:r>
            <w:r w:rsidR="00C109FE">
              <w:rPr>
                <w:rFonts w:asciiTheme="majorHAnsi" w:hAnsiTheme="majorHAnsi"/>
                <w:color w:val="FFFFFF" w:themeColor="background1"/>
              </w:rPr>
              <w:noBreakHyphen/>
            </w:r>
            <w:r w:rsidRPr="00AF6DE6">
              <w:rPr>
                <w:rFonts w:asciiTheme="majorHAnsi" w:hAnsiTheme="majorHAnsi"/>
                <w:color w:val="FFFFFF" w:themeColor="background1"/>
              </w:rPr>
              <w:t>Face Joint Committee Meeting</w:t>
            </w:r>
          </w:p>
          <w:p w14:paraId="07E0113A" w14:textId="77777777" w:rsidR="00866105" w:rsidRPr="00AF6DE6" w:rsidRDefault="00866105" w:rsidP="000B39E0">
            <w:pPr>
              <w:spacing w:after="0"/>
              <w:ind w:left="227"/>
              <w:rPr>
                <w:rFonts w:asciiTheme="majorHAnsi" w:hAnsiTheme="majorHAnsi"/>
                <w:color w:val="FFFFFF" w:themeColor="background1"/>
              </w:rPr>
            </w:pPr>
            <w:r w:rsidRPr="00AF6DE6">
              <w:rPr>
                <w:rFonts w:asciiTheme="majorHAnsi" w:hAnsiTheme="majorHAnsi"/>
                <w:color w:val="FFFFFF" w:themeColor="background1"/>
              </w:rPr>
              <w:t>Grand Hyatt Hotel</w:t>
            </w:r>
          </w:p>
          <w:p w14:paraId="3A019119" w14:textId="77777777" w:rsidR="00866105" w:rsidRPr="00AF6DE6" w:rsidRDefault="00866105" w:rsidP="000B39E0">
            <w:pPr>
              <w:spacing w:after="0"/>
              <w:ind w:left="227"/>
              <w:rPr>
                <w:rFonts w:asciiTheme="majorHAnsi" w:hAnsiTheme="majorHAnsi"/>
                <w:color w:val="FFFFFF" w:themeColor="background1"/>
              </w:rPr>
            </w:pPr>
            <w:r w:rsidRPr="00AF6DE6">
              <w:rPr>
                <w:rFonts w:asciiTheme="majorHAnsi" w:hAnsiTheme="majorHAnsi"/>
                <w:color w:val="FFFFFF" w:themeColor="background1"/>
              </w:rPr>
              <w:t>Kuala Lumpur, Malaysia</w:t>
            </w:r>
          </w:p>
          <w:p w14:paraId="69283A4E" w14:textId="25CE5D34" w:rsidR="00866105" w:rsidRPr="00AF6DE6" w:rsidRDefault="00866105" w:rsidP="000B39E0">
            <w:pPr>
              <w:spacing w:after="0"/>
              <w:ind w:left="227"/>
              <w:rPr>
                <w:rFonts w:asciiTheme="majorHAnsi" w:hAnsiTheme="majorHAnsi"/>
                <w:color w:val="FFFFFF" w:themeColor="background1"/>
                <w:sz w:val="24"/>
              </w:rPr>
            </w:pPr>
            <w:r w:rsidRPr="00AF6DE6">
              <w:rPr>
                <w:rFonts w:asciiTheme="majorHAnsi" w:hAnsiTheme="majorHAnsi"/>
                <w:color w:val="FFFFFF" w:themeColor="background1"/>
              </w:rPr>
              <w:t>Wednesday to Thursday, 23</w:t>
            </w:r>
            <w:r w:rsidR="00C109FE">
              <w:rPr>
                <w:rFonts w:asciiTheme="majorHAnsi" w:hAnsiTheme="majorHAnsi"/>
                <w:color w:val="FFFFFF" w:themeColor="background1"/>
              </w:rPr>
              <w:noBreakHyphen/>
            </w:r>
            <w:r w:rsidRPr="00AF6DE6">
              <w:rPr>
                <w:rFonts w:asciiTheme="majorHAnsi" w:hAnsiTheme="majorHAnsi"/>
                <w:color w:val="FFFFFF" w:themeColor="background1"/>
              </w:rPr>
              <w:t>24 November 2016</w:t>
            </w:r>
          </w:p>
        </w:tc>
      </w:tr>
    </w:tbl>
    <w:p w14:paraId="2484921F" w14:textId="77777777" w:rsidR="00866105" w:rsidRDefault="00866105" w:rsidP="00866105">
      <w:pPr>
        <w:tabs>
          <w:tab w:val="left" w:pos="1560"/>
        </w:tabs>
        <w:ind w:left="1418" w:hanging="1418"/>
      </w:pPr>
    </w:p>
    <w:p w14:paraId="0CE669C9" w14:textId="77777777" w:rsidR="00866105" w:rsidRDefault="00866105" w:rsidP="00866105">
      <w:pPr>
        <w:tabs>
          <w:tab w:val="left" w:pos="1560"/>
        </w:tabs>
        <w:ind w:left="1418" w:hanging="1418"/>
        <w:sectPr w:rsidR="00866105" w:rsidSect="00866105">
          <w:pgSz w:w="11906" w:h="16838"/>
          <w:pgMar w:top="1134" w:right="1134" w:bottom="1134" w:left="1134" w:header="708" w:footer="708" w:gutter="0"/>
          <w:cols w:space="284"/>
          <w:docGrid w:linePitch="360"/>
        </w:sectPr>
      </w:pPr>
    </w:p>
    <w:p w14:paraId="541E614F" w14:textId="71F73C4D" w:rsidR="006C692C" w:rsidRDefault="006C692C" w:rsidP="006C692C">
      <w:r>
        <w:t xml:space="preserve">The </w:t>
      </w:r>
      <w:r w:rsidR="009F6ED4">
        <w:t>ARFP</w:t>
      </w:r>
      <w:r>
        <w:t xml:space="preserve"> </w:t>
      </w:r>
      <w:r w:rsidR="00881C52">
        <w:t>JC</w:t>
      </w:r>
      <w:r>
        <w:t xml:space="preserve"> launched the first face</w:t>
      </w:r>
      <w:r w:rsidR="00C109FE">
        <w:noBreakHyphen/>
      </w:r>
      <w:r>
        <w:t>to</w:t>
      </w:r>
      <w:r w:rsidR="00C109FE">
        <w:noBreakHyphen/>
      </w:r>
      <w:r>
        <w:t>face meeting in Kuala Lumpur, Malaysia on 23</w:t>
      </w:r>
      <w:r w:rsidR="00C109FE">
        <w:noBreakHyphen/>
      </w:r>
      <w:r>
        <w:t xml:space="preserve">24 November 2016, having previously </w:t>
      </w:r>
      <w:r w:rsidR="00096B74">
        <w:t>held teleconferences</w:t>
      </w:r>
      <w:r>
        <w:t>.</w:t>
      </w:r>
    </w:p>
    <w:p w14:paraId="76AD8D6C" w14:textId="4EC39044" w:rsidR="006C692C" w:rsidRDefault="006C692C" w:rsidP="006C692C">
      <w:r>
        <w:t>The first meeting was held in Malaysia and the representatives were from Japan (Chair), Australia (Vice</w:t>
      </w:r>
      <w:r w:rsidR="00C109FE">
        <w:noBreakHyphen/>
      </w:r>
      <w:r>
        <w:t>Chair),</w:t>
      </w:r>
      <w:r w:rsidR="00764C6A">
        <w:t xml:space="preserve"> Korea, </w:t>
      </w:r>
      <w:r>
        <w:t xml:space="preserve">New Zealand and Thailand. Representatives from Malaysia and Indonesia were present as observers. </w:t>
      </w:r>
    </w:p>
    <w:p w14:paraId="49624137" w14:textId="59D05CF7" w:rsidR="006C692C" w:rsidRDefault="006C692C" w:rsidP="006C692C">
      <w:r>
        <w:t xml:space="preserve">The JC welcomed the involvement of officials from those economies and more broadly economies in the Asia </w:t>
      </w:r>
      <w:r w:rsidR="00096B74">
        <w:t>r</w:t>
      </w:r>
      <w:r>
        <w:t>egion and note</w:t>
      </w:r>
      <w:r w:rsidR="00096B74">
        <w:t>d that</w:t>
      </w:r>
      <w:r>
        <w:t xml:space="preserve"> observing may assist in</w:t>
      </w:r>
      <w:r w:rsidR="00096B74">
        <w:t xml:space="preserve"> the</w:t>
      </w:r>
      <w:r>
        <w:t xml:space="preserve"> consideration </w:t>
      </w:r>
      <w:r w:rsidR="00096B74">
        <w:t>of</w:t>
      </w:r>
      <w:r>
        <w:t xml:space="preserve"> these </w:t>
      </w:r>
      <w:r w:rsidR="00776F64">
        <w:t>economies</w:t>
      </w:r>
      <w:r>
        <w:t xml:space="preserve"> joining the </w:t>
      </w:r>
      <w:r w:rsidR="009F6ED4">
        <w:t>ARFP</w:t>
      </w:r>
      <w:r>
        <w:t xml:space="preserve"> scheme in the future. The JC also agreed to continue to </w:t>
      </w:r>
      <w:r w:rsidR="00096B74">
        <w:t>reach</w:t>
      </w:r>
      <w:r>
        <w:t xml:space="preserve"> out </w:t>
      </w:r>
      <w:r w:rsidR="00096B74">
        <w:t xml:space="preserve">to </w:t>
      </w:r>
      <w:r>
        <w:t>other economies that were not participants.</w:t>
      </w:r>
    </w:p>
    <w:p w14:paraId="38E07F4B" w14:textId="72890CEB" w:rsidR="006C692C" w:rsidRDefault="006C692C" w:rsidP="006C692C">
      <w:r>
        <w:br w:type="column"/>
        <w:t xml:space="preserve">The JC Members were keen to identify and act as needed to address any issues necessary the purpose of smooth implementation. The JC agreed </w:t>
      </w:r>
      <w:r w:rsidR="00096B74">
        <w:t xml:space="preserve">on </w:t>
      </w:r>
      <w:r>
        <w:t>a path forward on the matters including:</w:t>
      </w:r>
    </w:p>
    <w:p w14:paraId="17802269" w14:textId="5F7858E0" w:rsidR="006C692C" w:rsidRDefault="00096B74" w:rsidP="006C692C">
      <w:pPr>
        <w:pStyle w:val="Bullet"/>
      </w:pPr>
      <w:r>
        <w:t>d</w:t>
      </w:r>
      <w:r w:rsidR="006C692C">
        <w:t xml:space="preserve">eveloping a </w:t>
      </w:r>
      <w:r>
        <w:t>content design</w:t>
      </w:r>
      <w:r w:rsidR="006C692C">
        <w:t xml:space="preserve"> and management policy for the </w:t>
      </w:r>
      <w:r w:rsidR="009F6ED4">
        <w:t>ARFP</w:t>
      </w:r>
      <w:r w:rsidR="006C692C">
        <w:t xml:space="preserve"> official website </w:t>
      </w:r>
      <w:r>
        <w:t>(</w:t>
      </w:r>
      <w:r w:rsidR="006C692C">
        <w:t>http://fundspassport.apec.org/</w:t>
      </w:r>
      <w:r>
        <w:t>)</w:t>
      </w:r>
      <w:r w:rsidR="006C692C">
        <w:t xml:space="preserve"> in a transparent and effective manner for operators and investors</w:t>
      </w:r>
      <w:r>
        <w:t>;</w:t>
      </w:r>
    </w:p>
    <w:p w14:paraId="29B4D888" w14:textId="5506E9A0" w:rsidR="006C692C" w:rsidRDefault="00096B74" w:rsidP="006C692C">
      <w:pPr>
        <w:pStyle w:val="Bullet"/>
      </w:pPr>
      <w:r>
        <w:t>p</w:t>
      </w:r>
      <w:r w:rsidR="006C692C">
        <w:t xml:space="preserve">reparation of a draft Part A, the proposed common fields of an application form to be used by </w:t>
      </w:r>
      <w:r w:rsidR="009F6ED4">
        <w:t>ARFP</w:t>
      </w:r>
      <w:r w:rsidR="006C692C">
        <w:t xml:space="preserve"> funds</w:t>
      </w:r>
      <w:r>
        <w:t>;</w:t>
      </w:r>
    </w:p>
    <w:p w14:paraId="3129F64E" w14:textId="45843013" w:rsidR="006C692C" w:rsidRDefault="00096B74" w:rsidP="006C692C">
      <w:pPr>
        <w:pStyle w:val="Bullet"/>
      </w:pPr>
      <w:r>
        <w:t>s</w:t>
      </w:r>
      <w:r w:rsidR="006C692C">
        <w:t xml:space="preserve">haring updates on the progress for implementation of the </w:t>
      </w:r>
      <w:r w:rsidR="009F6ED4">
        <w:t>ARFP</w:t>
      </w:r>
      <w:r w:rsidR="006C692C">
        <w:t xml:space="preserve"> in member economies toward the commencement of the </w:t>
      </w:r>
      <w:r w:rsidR="009F6ED4">
        <w:t>ARFP</w:t>
      </w:r>
      <w:r w:rsidR="006C692C">
        <w:t xml:space="preserve"> in late 2017</w:t>
      </w:r>
      <w:r>
        <w:t>;</w:t>
      </w:r>
    </w:p>
    <w:p w14:paraId="5E3C421B" w14:textId="3108A0CC" w:rsidR="006C692C" w:rsidRDefault="006C692C" w:rsidP="006C692C">
      <w:pPr>
        <w:pStyle w:val="Bullet"/>
      </w:pPr>
      <w:r>
        <w:t xml:space="preserve">further development of the guidance documents providing general information about the related regulations in the participating economies </w:t>
      </w:r>
      <w:r w:rsidR="00096B74">
        <w:t>; and</w:t>
      </w:r>
    </w:p>
    <w:p w14:paraId="1698BC0F" w14:textId="40DBC0B0" w:rsidR="006C692C" w:rsidRDefault="006C692C" w:rsidP="006C692C">
      <w:pPr>
        <w:pStyle w:val="Bullet"/>
      </w:pPr>
      <w:r>
        <w:t xml:space="preserve">understanding taxation issues relating to the </w:t>
      </w:r>
      <w:r w:rsidR="009F6ED4">
        <w:t>ARFP</w:t>
      </w:r>
      <w:r>
        <w:t xml:space="preserve"> funds</w:t>
      </w:r>
      <w:r w:rsidR="00096B74">
        <w:t>.</w:t>
      </w:r>
    </w:p>
    <w:p w14:paraId="4BE597CE" w14:textId="3235EF78" w:rsidR="00866105" w:rsidRPr="00866105" w:rsidRDefault="006C692C" w:rsidP="006C692C">
      <w:r>
        <w:t xml:space="preserve">The JC sought input from a variety of sources to understand the context in which the </w:t>
      </w:r>
      <w:r w:rsidR="009F6ED4">
        <w:t>ARFP</w:t>
      </w:r>
      <w:r>
        <w:t xml:space="preserve"> would operate</w:t>
      </w:r>
      <w:r w:rsidR="00C109FE">
        <w:t xml:space="preserve">. </w:t>
      </w:r>
    </w:p>
    <w:p w14:paraId="41FD8CDB" w14:textId="77777777" w:rsidR="000B39E0" w:rsidRDefault="000B39E0" w:rsidP="00866105">
      <w:pPr>
        <w:sectPr w:rsidR="000B39E0" w:rsidSect="00866105">
          <w:type w:val="continuous"/>
          <w:pgSz w:w="11906" w:h="16838"/>
          <w:pgMar w:top="1134" w:right="1134" w:bottom="1134" w:left="1134" w:header="708" w:footer="708" w:gutter="0"/>
          <w:cols w:num="2" w:space="284"/>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78"/>
        <w:gridCol w:w="4961"/>
      </w:tblGrid>
      <w:tr w:rsidR="000B39E0" w:rsidRPr="009F34FC" w14:paraId="613D3598" w14:textId="77777777" w:rsidTr="00AF6DE6">
        <w:trPr>
          <w:trHeight w:val="1361"/>
        </w:trPr>
        <w:tc>
          <w:tcPr>
            <w:tcW w:w="4678" w:type="dxa"/>
            <w:shd w:val="clear" w:color="auto" w:fill="D9D9D9" w:themeFill="background1" w:themeFillShade="D9"/>
          </w:tcPr>
          <w:p w14:paraId="3711914A" w14:textId="77777777" w:rsidR="000B39E0" w:rsidRPr="009F34FC" w:rsidRDefault="000B39E0" w:rsidP="00881C52">
            <w:pPr>
              <w:spacing w:after="100" w:afterAutospacing="1"/>
              <w:contextualSpacing/>
            </w:pPr>
            <w:r w:rsidRPr="000B39E0">
              <w:rPr>
                <w:noProof/>
                <w:lang w:eastAsia="en-AU"/>
              </w:rPr>
              <w:drawing>
                <wp:inline distT="0" distB="0" distL="0" distR="0" wp14:anchorId="6940D72C" wp14:editId="778BABB1">
                  <wp:extent cx="3010729" cy="2241791"/>
                  <wp:effectExtent l="0" t="0" r="0" b="635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5935" cy="2245667"/>
                          </a:xfrm>
                          <a:prstGeom prst="rect">
                            <a:avLst/>
                          </a:prstGeom>
                        </pic:spPr>
                      </pic:pic>
                    </a:graphicData>
                  </a:graphic>
                </wp:inline>
              </w:drawing>
            </w:r>
          </w:p>
        </w:tc>
        <w:tc>
          <w:tcPr>
            <w:tcW w:w="4961" w:type="dxa"/>
            <w:shd w:val="clear" w:color="auto" w:fill="44546A"/>
          </w:tcPr>
          <w:p w14:paraId="37FF94A8" w14:textId="77777777" w:rsidR="000B39E0" w:rsidRPr="00AF6DE6" w:rsidRDefault="000B39E0" w:rsidP="00703372">
            <w:pPr>
              <w:pStyle w:val="Heading1"/>
              <w:spacing w:before="360" w:after="360"/>
              <w:ind w:left="227"/>
            </w:pPr>
            <w:r w:rsidRPr="00AF6DE6">
              <w:t>Summary of JC Meeting</w:t>
            </w:r>
          </w:p>
          <w:p w14:paraId="62F6C387" w14:textId="0A79D84D" w:rsidR="000B39E0" w:rsidRPr="00AF6DE6" w:rsidRDefault="000B39E0" w:rsidP="000B39E0">
            <w:pPr>
              <w:ind w:left="227"/>
              <w:rPr>
                <w:rFonts w:asciiTheme="majorHAnsi" w:hAnsiTheme="majorHAnsi"/>
                <w:color w:val="FFFFFF" w:themeColor="background1"/>
              </w:rPr>
            </w:pPr>
            <w:r w:rsidRPr="00AF6DE6">
              <w:rPr>
                <w:rFonts w:asciiTheme="majorHAnsi" w:hAnsiTheme="majorHAnsi"/>
                <w:color w:val="FFFFFF" w:themeColor="background1"/>
              </w:rPr>
              <w:t>Second Face</w:t>
            </w:r>
            <w:r w:rsidR="00C109FE">
              <w:rPr>
                <w:rFonts w:asciiTheme="majorHAnsi" w:hAnsiTheme="majorHAnsi"/>
                <w:color w:val="FFFFFF" w:themeColor="background1"/>
              </w:rPr>
              <w:noBreakHyphen/>
            </w:r>
            <w:r w:rsidRPr="00AF6DE6">
              <w:rPr>
                <w:rFonts w:asciiTheme="majorHAnsi" w:hAnsiTheme="majorHAnsi"/>
                <w:color w:val="FFFFFF" w:themeColor="background1"/>
              </w:rPr>
              <w:t>to</w:t>
            </w:r>
            <w:r w:rsidR="00C109FE">
              <w:rPr>
                <w:rFonts w:asciiTheme="majorHAnsi" w:hAnsiTheme="majorHAnsi"/>
                <w:color w:val="FFFFFF" w:themeColor="background1"/>
              </w:rPr>
              <w:noBreakHyphen/>
            </w:r>
            <w:r w:rsidRPr="00AF6DE6">
              <w:rPr>
                <w:rFonts w:asciiTheme="majorHAnsi" w:hAnsiTheme="majorHAnsi"/>
                <w:color w:val="FFFFFF" w:themeColor="background1"/>
              </w:rPr>
              <w:t>Face Joint Committee Meeting</w:t>
            </w:r>
          </w:p>
          <w:p w14:paraId="2FB7EB5C" w14:textId="77777777" w:rsidR="000B39E0" w:rsidRPr="00AF6DE6" w:rsidRDefault="000B39E0" w:rsidP="000B39E0">
            <w:pPr>
              <w:spacing w:after="0"/>
              <w:ind w:left="227"/>
              <w:rPr>
                <w:rFonts w:asciiTheme="majorHAnsi" w:hAnsiTheme="majorHAnsi"/>
                <w:color w:val="FFFFFF" w:themeColor="background1"/>
              </w:rPr>
            </w:pPr>
            <w:r w:rsidRPr="00AF6DE6">
              <w:rPr>
                <w:rFonts w:asciiTheme="majorHAnsi" w:hAnsiTheme="majorHAnsi"/>
                <w:color w:val="FFFFFF" w:themeColor="background1"/>
              </w:rPr>
              <w:t>Financial Services Agency, Japan</w:t>
            </w:r>
          </w:p>
          <w:p w14:paraId="3DCCEFAE" w14:textId="77777777" w:rsidR="000B39E0" w:rsidRPr="00AF6DE6" w:rsidRDefault="000B39E0" w:rsidP="000B39E0">
            <w:pPr>
              <w:spacing w:after="0"/>
              <w:ind w:left="227"/>
              <w:rPr>
                <w:rFonts w:asciiTheme="majorHAnsi" w:hAnsiTheme="majorHAnsi"/>
                <w:color w:val="FFFFFF" w:themeColor="background1"/>
              </w:rPr>
            </w:pPr>
            <w:r w:rsidRPr="00AF6DE6">
              <w:rPr>
                <w:rFonts w:asciiTheme="majorHAnsi" w:hAnsiTheme="majorHAnsi"/>
                <w:color w:val="FFFFFF" w:themeColor="background1"/>
              </w:rPr>
              <w:t>Tokyo, Japan</w:t>
            </w:r>
          </w:p>
          <w:p w14:paraId="7A13B615" w14:textId="61733614" w:rsidR="000B39E0" w:rsidRPr="009F34FC" w:rsidRDefault="000B39E0" w:rsidP="000B39E0">
            <w:pPr>
              <w:spacing w:after="0"/>
              <w:ind w:left="227"/>
              <w:rPr>
                <w:rFonts w:asciiTheme="majorHAnsi" w:hAnsiTheme="majorHAnsi"/>
                <w:sz w:val="24"/>
              </w:rPr>
            </w:pPr>
            <w:r w:rsidRPr="00AF6DE6">
              <w:rPr>
                <w:rFonts w:asciiTheme="majorHAnsi" w:hAnsiTheme="majorHAnsi"/>
                <w:color w:val="FFFFFF" w:themeColor="background1"/>
              </w:rPr>
              <w:t>Thursday to Friday, 20</w:t>
            </w:r>
            <w:r w:rsidR="00C109FE">
              <w:rPr>
                <w:rFonts w:asciiTheme="majorHAnsi" w:hAnsiTheme="majorHAnsi"/>
                <w:color w:val="FFFFFF" w:themeColor="background1"/>
              </w:rPr>
              <w:noBreakHyphen/>
            </w:r>
            <w:r w:rsidRPr="00AF6DE6">
              <w:rPr>
                <w:rFonts w:asciiTheme="majorHAnsi" w:hAnsiTheme="majorHAnsi"/>
                <w:color w:val="FFFFFF" w:themeColor="background1"/>
              </w:rPr>
              <w:t>21 April 2017</w:t>
            </w:r>
          </w:p>
        </w:tc>
      </w:tr>
    </w:tbl>
    <w:p w14:paraId="043DECB4" w14:textId="77777777" w:rsidR="00866105" w:rsidRDefault="00866105" w:rsidP="00866105"/>
    <w:p w14:paraId="56AE58C1" w14:textId="77777777" w:rsidR="000B39E0" w:rsidRDefault="000B39E0" w:rsidP="00866105">
      <w:pPr>
        <w:sectPr w:rsidR="000B39E0" w:rsidSect="000B39E0">
          <w:pgSz w:w="11906" w:h="16838"/>
          <w:pgMar w:top="1134" w:right="1134" w:bottom="1134" w:left="1134" w:header="708" w:footer="708" w:gutter="0"/>
          <w:cols w:space="284"/>
          <w:docGrid w:linePitch="360"/>
        </w:sectPr>
      </w:pPr>
    </w:p>
    <w:p w14:paraId="27085AE8" w14:textId="15E31135" w:rsidR="006C692C" w:rsidRDefault="006C692C" w:rsidP="006C692C">
      <w:r>
        <w:t xml:space="preserve">The </w:t>
      </w:r>
      <w:r w:rsidR="009F6ED4">
        <w:t>ARFP</w:t>
      </w:r>
      <w:r>
        <w:t xml:space="preserve"> JC held its second face</w:t>
      </w:r>
      <w:r w:rsidR="00C109FE">
        <w:noBreakHyphen/>
      </w:r>
      <w:r>
        <w:t>to</w:t>
      </w:r>
      <w:r w:rsidR="00C109FE">
        <w:noBreakHyphen/>
      </w:r>
      <w:r>
        <w:t>face meeting in Tokyo, Japan on 20</w:t>
      </w:r>
      <w:r w:rsidR="00C109FE">
        <w:noBreakHyphen/>
      </w:r>
      <w:r>
        <w:t xml:space="preserve">21 April 2017. </w:t>
      </w:r>
    </w:p>
    <w:p w14:paraId="012ED9D2" w14:textId="5E0AC2B3" w:rsidR="006C692C" w:rsidRDefault="006C692C" w:rsidP="006C692C">
      <w:r>
        <w:t xml:space="preserve">The second meeting of the JC was held in Tokyo, Japan and </w:t>
      </w:r>
      <w:r w:rsidR="00096B74">
        <w:t>was attended by</w:t>
      </w:r>
      <w:r>
        <w:t xml:space="preserve"> representatives from Japan (Chair), Australia (Vice</w:t>
      </w:r>
      <w:r w:rsidR="00C109FE">
        <w:noBreakHyphen/>
      </w:r>
      <w:r>
        <w:t>Chair),</w:t>
      </w:r>
      <w:r w:rsidR="00764C6A">
        <w:t xml:space="preserve"> Korea, </w:t>
      </w:r>
      <w:r>
        <w:t xml:space="preserve">New Zealand and Thailand. </w:t>
      </w:r>
    </w:p>
    <w:p w14:paraId="71B2469A" w14:textId="0750DC85" w:rsidR="006C692C" w:rsidRDefault="006C692C" w:rsidP="006C692C">
      <w:r>
        <w:t xml:space="preserve">The JC received updates on the progress of implementation of member economies. The JC also discussed information sharing, developing common elements in the application </w:t>
      </w:r>
      <w:r w:rsidR="00096B74">
        <w:t>form</w:t>
      </w:r>
      <w:r>
        <w:t xml:space="preserve"> to be used by </w:t>
      </w:r>
      <w:r w:rsidR="009F6ED4">
        <w:t>ARFP</w:t>
      </w:r>
      <w:r>
        <w:t xml:space="preserve"> funds and the feasibility of a pilot study with industry as a part of the implementation process.</w:t>
      </w:r>
    </w:p>
    <w:p w14:paraId="6AFB6985" w14:textId="2BD9CB32" w:rsidR="006C692C" w:rsidRDefault="006C692C" w:rsidP="006C692C">
      <w:r>
        <w:t>The JC agreed:</w:t>
      </w:r>
    </w:p>
    <w:p w14:paraId="4A0C07C1" w14:textId="61088B1C" w:rsidR="006C692C" w:rsidRDefault="006C692C" w:rsidP="006C692C">
      <w:pPr>
        <w:pStyle w:val="Bullet"/>
      </w:pPr>
      <w:r>
        <w:t xml:space="preserve">to publish this Annual Report </w:t>
      </w:r>
      <w:r w:rsidR="00096B74">
        <w:t xml:space="preserve">in July </w:t>
      </w:r>
      <w:r>
        <w:t xml:space="preserve">and include information about progress in preparing for the operation of the </w:t>
      </w:r>
      <w:r w:rsidR="009F6ED4">
        <w:t>ARFP</w:t>
      </w:r>
      <w:r>
        <w:t>;</w:t>
      </w:r>
    </w:p>
    <w:p w14:paraId="4A925B4B" w14:textId="689E7879" w:rsidR="006C692C" w:rsidRDefault="006C692C" w:rsidP="006C692C">
      <w:pPr>
        <w:pStyle w:val="Bullet"/>
      </w:pPr>
      <w:r>
        <w:t xml:space="preserve">to publicly consult on draft guidance about laws and regulations that are expected to apply to imported funds in </w:t>
      </w:r>
      <w:r w:rsidR="00C109FE">
        <w:t>“</w:t>
      </w:r>
      <w:r>
        <w:t>host</w:t>
      </w:r>
      <w:r w:rsidR="00C109FE">
        <w:t>”</w:t>
      </w:r>
      <w:r>
        <w:t xml:space="preserve"> passport economies</w:t>
      </w:r>
      <w:r w:rsidR="00096B74">
        <w:t xml:space="preserve"> in July</w:t>
      </w:r>
      <w:r>
        <w:t>;</w:t>
      </w:r>
    </w:p>
    <w:p w14:paraId="6BC52077" w14:textId="02271736" w:rsidR="006C692C" w:rsidRDefault="006C692C" w:rsidP="006C692C">
      <w:pPr>
        <w:pStyle w:val="Bullet"/>
      </w:pPr>
      <w:r>
        <w:t xml:space="preserve">to continue to engage with and reach out to other economies in the Asia </w:t>
      </w:r>
      <w:r w:rsidR="00096B74">
        <w:t>r</w:t>
      </w:r>
      <w:r>
        <w:t xml:space="preserve">egion that are not </w:t>
      </w:r>
      <w:r w:rsidR="00096B74">
        <w:t xml:space="preserve">yet </w:t>
      </w:r>
      <w:r>
        <w:t>participants; and</w:t>
      </w:r>
    </w:p>
    <w:p w14:paraId="047B555E" w14:textId="2C5D7820" w:rsidR="006C692C" w:rsidRDefault="006C692C" w:rsidP="006C692C">
      <w:pPr>
        <w:pStyle w:val="Bullet"/>
      </w:pPr>
      <w:r>
        <w:t xml:space="preserve">for Australia to chair a working group of tax specialists to consider what information can be given to funds and investors about tax treatment and to what extent taxes or taxation arrangements would be a barrier to the effectiveness of the </w:t>
      </w:r>
      <w:r w:rsidR="009F6ED4">
        <w:t>ARFP</w:t>
      </w:r>
      <w:r>
        <w:t>.</w:t>
      </w:r>
    </w:p>
    <w:p w14:paraId="6B918AB1" w14:textId="73B9605C" w:rsidR="006C692C" w:rsidRDefault="006C692C" w:rsidP="006C692C">
      <w:r>
        <w:br w:type="column"/>
        <w:t xml:space="preserve">The JC continued to engage with industry to understand the practical issues affecting the </w:t>
      </w:r>
      <w:r w:rsidR="009F6ED4">
        <w:t>ARFP</w:t>
      </w:r>
      <w:r w:rsidR="00C109FE">
        <w:t xml:space="preserve">. </w:t>
      </w:r>
      <w:r>
        <w:t xml:space="preserve">The JC had interactive discussions with Japanese fund managers and distributors interested in the </w:t>
      </w:r>
      <w:r w:rsidR="009F6ED4">
        <w:t>ARFP</w:t>
      </w:r>
      <w:r>
        <w:t xml:space="preserve"> following presentations from the Japan Securities Dealers Association (JSDA) and the Japan Investment Trusts Association (JITA).</w:t>
      </w:r>
    </w:p>
    <w:p w14:paraId="72346A18" w14:textId="43B54CCE" w:rsidR="00D72376" w:rsidRDefault="006C692C" w:rsidP="006C692C">
      <w:r>
        <w:t xml:space="preserve">The JC appreciates the value of continuing open and consultative approach with the industry in the development of the </w:t>
      </w:r>
      <w:r w:rsidR="009F6ED4">
        <w:t>ARFP</w:t>
      </w:r>
      <w:r w:rsidR="005D599D">
        <w:t>.</w:t>
      </w:r>
    </w:p>
    <w:p w14:paraId="5FD6FCCD" w14:textId="77777777" w:rsidR="00D72376" w:rsidRDefault="00D72376" w:rsidP="000B39E0">
      <w:pPr>
        <w:sectPr w:rsidR="00D72376" w:rsidSect="000B39E0">
          <w:type w:val="continuous"/>
          <w:pgSz w:w="11906" w:h="16838"/>
          <w:pgMar w:top="1134" w:right="1134" w:bottom="1134" w:left="1134" w:header="708" w:footer="708" w:gutter="0"/>
          <w:cols w:num="2" w:space="284"/>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546A"/>
        <w:tblLayout w:type="fixed"/>
        <w:tblCellMar>
          <w:left w:w="0" w:type="dxa"/>
          <w:right w:w="0" w:type="dxa"/>
        </w:tblCellMar>
        <w:tblLook w:val="04A0" w:firstRow="1" w:lastRow="0" w:firstColumn="1" w:lastColumn="0" w:noHBand="0" w:noVBand="1"/>
      </w:tblPr>
      <w:tblGrid>
        <w:gridCol w:w="9639"/>
      </w:tblGrid>
      <w:tr w:rsidR="00D72376" w:rsidRPr="009F34FC" w14:paraId="6DD27056" w14:textId="77777777" w:rsidTr="00AF6DE6">
        <w:trPr>
          <w:trHeight w:val="1020"/>
        </w:trPr>
        <w:tc>
          <w:tcPr>
            <w:tcW w:w="9639" w:type="dxa"/>
            <w:shd w:val="clear" w:color="auto" w:fill="44546A"/>
            <w:vAlign w:val="center"/>
          </w:tcPr>
          <w:p w14:paraId="55AD20DC" w14:textId="65EDB4BA" w:rsidR="00D72376" w:rsidRPr="009F34FC" w:rsidRDefault="00D72376" w:rsidP="00703372">
            <w:pPr>
              <w:pStyle w:val="Heading1"/>
              <w:ind w:left="227"/>
              <w:rPr>
                <w:sz w:val="24"/>
              </w:rPr>
            </w:pPr>
            <w:r w:rsidRPr="00703372">
              <w:rPr>
                <w:sz w:val="32"/>
              </w:rPr>
              <w:t>The Development of pre</w:t>
            </w:r>
            <w:r w:rsidR="00C109FE">
              <w:rPr>
                <w:sz w:val="32"/>
              </w:rPr>
              <w:noBreakHyphen/>
            </w:r>
            <w:r w:rsidRPr="00703372">
              <w:rPr>
                <w:sz w:val="32"/>
              </w:rPr>
              <w:t>Implementation in Member Economies</w:t>
            </w:r>
          </w:p>
        </w:tc>
      </w:tr>
    </w:tbl>
    <w:p w14:paraId="3D2C79F8" w14:textId="77777777" w:rsidR="00D72376" w:rsidRDefault="00D72376" w:rsidP="00D72376"/>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CellMar>
          <w:top w:w="113" w:type="dxa"/>
          <w:bottom w:w="113" w:type="dxa"/>
        </w:tblCellMar>
        <w:tblLook w:val="04A0" w:firstRow="1" w:lastRow="0" w:firstColumn="1" w:lastColumn="0" w:noHBand="0" w:noVBand="1"/>
      </w:tblPr>
      <w:tblGrid>
        <w:gridCol w:w="4819"/>
        <w:gridCol w:w="4819"/>
      </w:tblGrid>
      <w:tr w:rsidR="00D72376" w14:paraId="0DF9D384" w14:textId="77777777" w:rsidTr="00D72376">
        <w:trPr>
          <w:jc w:val="center"/>
        </w:trPr>
        <w:tc>
          <w:tcPr>
            <w:tcW w:w="4819" w:type="dxa"/>
            <w:shd w:val="clear" w:color="auto" w:fill="F2F2F2" w:themeFill="background1" w:themeFillShade="F2"/>
          </w:tcPr>
          <w:p w14:paraId="6E4FFA21" w14:textId="77777777" w:rsidR="00D72376" w:rsidRPr="00077ECA" w:rsidRDefault="00D72376" w:rsidP="00D72376">
            <w:pPr>
              <w:rPr>
                <w:b/>
                <w:color w:val="44546A"/>
                <w:sz w:val="24"/>
              </w:rPr>
            </w:pPr>
            <w:r w:rsidRPr="00077ECA">
              <w:rPr>
                <w:b/>
                <w:color w:val="44546A"/>
                <w:sz w:val="24"/>
              </w:rPr>
              <w:t>[Australia]</w:t>
            </w:r>
          </w:p>
          <w:p w14:paraId="0D3BB86E" w14:textId="2FF249D2" w:rsidR="00D72376" w:rsidRDefault="006C692C" w:rsidP="006C692C">
            <w:r w:rsidRPr="006C692C">
              <w:t xml:space="preserve">In Australia, the </w:t>
            </w:r>
            <w:proofErr w:type="spellStart"/>
            <w:r w:rsidRPr="006C692C">
              <w:t>M</w:t>
            </w:r>
            <w:r w:rsidR="003F6287">
              <w:t>o</w:t>
            </w:r>
            <w:r w:rsidRPr="006C692C">
              <w:t>C</w:t>
            </w:r>
            <w:proofErr w:type="spellEnd"/>
            <w:r w:rsidRPr="006C692C">
              <w:t xml:space="preserve"> is being implemented into draft legislation, which will be consulted upon shortly. Australia is also developing legislation for a corporate collective investment vehicle (CCIV). The CCIV is intended to support the establishment of the </w:t>
            </w:r>
            <w:r w:rsidR="009F6ED4">
              <w:t>ARFP</w:t>
            </w:r>
            <w:r w:rsidRPr="006C692C">
              <w:t xml:space="preserve"> as it has a corporate structure similar to that of European</w:t>
            </w:r>
            <w:r w:rsidR="00C109FE">
              <w:noBreakHyphen/>
            </w:r>
            <w:r w:rsidRPr="006C692C">
              <w:t>style funds already familiar to many investors in Asia.</w:t>
            </w:r>
          </w:p>
        </w:tc>
        <w:tc>
          <w:tcPr>
            <w:tcW w:w="4819" w:type="dxa"/>
            <w:shd w:val="clear" w:color="auto" w:fill="F2F2F2" w:themeFill="background1" w:themeFillShade="F2"/>
          </w:tcPr>
          <w:p w14:paraId="471F11C7" w14:textId="04AE699F" w:rsidR="00D72376" w:rsidRDefault="006C692C" w:rsidP="00D72376">
            <w:r w:rsidRPr="006C692C">
              <w:t xml:space="preserve">ASIC is working closely with Australian Treasury to implement the </w:t>
            </w:r>
            <w:r w:rsidR="00881C52">
              <w:t>p</w:t>
            </w:r>
            <w:r w:rsidRPr="006C692C">
              <w:t xml:space="preserve">assport. ASIC represents Australia on the </w:t>
            </w:r>
            <w:r w:rsidR="009F6ED4">
              <w:t>ARFP</w:t>
            </w:r>
            <w:r w:rsidR="00C109FE">
              <w:t>’</w:t>
            </w:r>
            <w:r w:rsidRPr="006C692C">
              <w:t xml:space="preserve">s </w:t>
            </w:r>
            <w:r w:rsidR="003F6287">
              <w:t>JC</w:t>
            </w:r>
            <w:r w:rsidRPr="006C692C">
              <w:t xml:space="preserve">, which is responsible for aspects of the implementation of the </w:t>
            </w:r>
            <w:r w:rsidR="009F6ED4">
              <w:t>ARFP</w:t>
            </w:r>
            <w:r w:rsidRPr="006C692C">
              <w:t xml:space="preserve">. ASIC is currently focusing on developing guidance to industry, as well as internal and registry processes to facilitate use of the </w:t>
            </w:r>
            <w:r w:rsidR="009F6ED4">
              <w:t>ARFP</w:t>
            </w:r>
            <w:r w:rsidRPr="006C692C">
              <w:t xml:space="preserve">. This will include developing registers of </w:t>
            </w:r>
            <w:r w:rsidR="009F6ED4">
              <w:t>ARFP</w:t>
            </w:r>
            <w:r w:rsidRPr="006C692C">
              <w:t xml:space="preserve"> funds that will operate under the </w:t>
            </w:r>
            <w:r w:rsidR="009F6ED4">
              <w:t>ARFP</w:t>
            </w:r>
            <w:r w:rsidRPr="006C692C">
              <w:t xml:space="preserve"> regime and new IT infrastructure for </w:t>
            </w:r>
            <w:r w:rsidR="009F6ED4">
              <w:t>ARFP</w:t>
            </w:r>
            <w:r w:rsidRPr="006C692C">
              <w:t xml:space="preserve"> funds. Australian and foreign operators will be able to register or notify </w:t>
            </w:r>
            <w:r w:rsidR="009F6ED4">
              <w:t>ARFP</w:t>
            </w:r>
            <w:r w:rsidRPr="006C692C">
              <w:t xml:space="preserve"> funds to ASIC through an online portal using a digital form.</w:t>
            </w:r>
          </w:p>
        </w:tc>
      </w:tr>
    </w:tbl>
    <w:p w14:paraId="443428B9" w14:textId="77777777" w:rsidR="00D72376" w:rsidRDefault="00D72376" w:rsidP="00D72376"/>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CellMar>
          <w:top w:w="113" w:type="dxa"/>
          <w:bottom w:w="113" w:type="dxa"/>
        </w:tblCellMar>
        <w:tblLook w:val="04A0" w:firstRow="1" w:lastRow="0" w:firstColumn="1" w:lastColumn="0" w:noHBand="0" w:noVBand="1"/>
      </w:tblPr>
      <w:tblGrid>
        <w:gridCol w:w="4819"/>
        <w:gridCol w:w="4819"/>
      </w:tblGrid>
      <w:tr w:rsidR="00D72376" w14:paraId="1ED8D1F7" w14:textId="77777777" w:rsidTr="00881C52">
        <w:trPr>
          <w:jc w:val="center"/>
        </w:trPr>
        <w:tc>
          <w:tcPr>
            <w:tcW w:w="4819" w:type="dxa"/>
            <w:shd w:val="clear" w:color="auto" w:fill="F2F2F2" w:themeFill="background1" w:themeFillShade="F2"/>
          </w:tcPr>
          <w:p w14:paraId="200B1CC6" w14:textId="77777777" w:rsidR="00D72376" w:rsidRPr="00077ECA" w:rsidRDefault="00D72376" w:rsidP="00D72376">
            <w:pPr>
              <w:rPr>
                <w:b/>
                <w:color w:val="44546A"/>
                <w:sz w:val="24"/>
              </w:rPr>
            </w:pPr>
            <w:r w:rsidRPr="00077ECA">
              <w:rPr>
                <w:b/>
                <w:color w:val="44546A"/>
                <w:sz w:val="24"/>
              </w:rPr>
              <w:t>[Japan]</w:t>
            </w:r>
          </w:p>
          <w:p w14:paraId="1BC07980" w14:textId="27F1F354" w:rsidR="006C692C" w:rsidRDefault="006C692C" w:rsidP="006C692C">
            <w:r>
              <w:t xml:space="preserve">The Japanese government will take necessary domestic arrangements in accordance with the </w:t>
            </w:r>
            <w:r w:rsidR="009F6ED4">
              <w:t>ARFP</w:t>
            </w:r>
            <w:r>
              <w:t xml:space="preserve"> rules including amendment of its regulation (the Cabinet Ordinance of Financial Instruments Exchange Act) by the end of 2017. </w:t>
            </w:r>
          </w:p>
          <w:p w14:paraId="4A45577F" w14:textId="03401C47" w:rsidR="00D72376" w:rsidRDefault="006C692C" w:rsidP="003F6287">
            <w:r>
              <w:t>FSA has been working with</w:t>
            </w:r>
            <w:r w:rsidR="00881C52">
              <w:t xml:space="preserve"> the</w:t>
            </w:r>
            <w:r>
              <w:t xml:space="preserve"> </w:t>
            </w:r>
            <w:r w:rsidR="00881C52">
              <w:t>self</w:t>
            </w:r>
            <w:r w:rsidR="00C109FE">
              <w:noBreakHyphen/>
            </w:r>
            <w:r w:rsidR="00881C52">
              <w:t>regulating organisations (</w:t>
            </w:r>
            <w:r>
              <w:t>SROs</w:t>
            </w:r>
            <w:r w:rsidR="00881C52">
              <w:t>) of</w:t>
            </w:r>
            <w:r>
              <w:t xml:space="preserve"> JSDA and JITA, to</w:t>
            </w:r>
            <w:r w:rsidR="00881C52">
              <w:t xml:space="preserve"> install</w:t>
            </w:r>
            <w:r>
              <w:t xml:space="preserve"> new SRO rules together with regulatory amendment. Japan is expected to be ready to accept incoming </w:t>
            </w:r>
            <w:r w:rsidR="009F6ED4">
              <w:t>ARFP</w:t>
            </w:r>
            <w:r>
              <w:t xml:space="preserve"> funds from the beginning of 2018.</w:t>
            </w:r>
          </w:p>
        </w:tc>
        <w:tc>
          <w:tcPr>
            <w:tcW w:w="4819" w:type="dxa"/>
            <w:shd w:val="clear" w:color="auto" w:fill="F2F2F2" w:themeFill="background1" w:themeFillShade="F2"/>
          </w:tcPr>
          <w:p w14:paraId="613A90FB" w14:textId="0DAE1934" w:rsidR="00D72376" w:rsidRDefault="006C692C" w:rsidP="00881C52">
            <w:r>
              <w:t>The SRO regulating asset manag</w:t>
            </w:r>
            <w:r w:rsidR="00BD24A3">
              <w:t>ement companies has prepared a</w:t>
            </w:r>
            <w:r w:rsidR="009F6ED4">
              <w:t>n</w:t>
            </w:r>
            <w:r w:rsidR="00BD24A3">
              <w:t xml:space="preserve"> </w:t>
            </w:r>
            <w:r w:rsidR="009F6ED4">
              <w:t>ARFP</w:t>
            </w:r>
            <w:r>
              <w:t xml:space="preserve"> Checklist based on</w:t>
            </w:r>
            <w:r w:rsidR="00881C52">
              <w:t xml:space="preserve"> the</w:t>
            </w:r>
            <w:r>
              <w:t xml:space="preserve"> </w:t>
            </w:r>
            <w:proofErr w:type="spellStart"/>
            <w:r>
              <w:t>MoC</w:t>
            </w:r>
            <w:proofErr w:type="spellEnd"/>
            <w:r>
              <w:t xml:space="preserve"> as a part of</w:t>
            </w:r>
            <w:r w:rsidR="00881C52">
              <w:t xml:space="preserve"> the</w:t>
            </w:r>
            <w:r>
              <w:t xml:space="preserve"> application documents. The SRO plans to request submission of the Checklist and the Application Form Part A in addition to notification documents.</w:t>
            </w:r>
          </w:p>
        </w:tc>
      </w:tr>
    </w:tbl>
    <w:p w14:paraId="7EFBAFF7" w14:textId="77777777" w:rsidR="00D72376" w:rsidRDefault="00D72376" w:rsidP="00D72376"/>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CellMar>
          <w:top w:w="113" w:type="dxa"/>
          <w:bottom w:w="113" w:type="dxa"/>
        </w:tblCellMar>
        <w:tblLook w:val="04A0" w:firstRow="1" w:lastRow="0" w:firstColumn="1" w:lastColumn="0" w:noHBand="0" w:noVBand="1"/>
      </w:tblPr>
      <w:tblGrid>
        <w:gridCol w:w="4819"/>
        <w:gridCol w:w="4819"/>
      </w:tblGrid>
      <w:tr w:rsidR="00D72376" w14:paraId="33F33E96" w14:textId="77777777" w:rsidTr="00881C52">
        <w:trPr>
          <w:jc w:val="center"/>
        </w:trPr>
        <w:tc>
          <w:tcPr>
            <w:tcW w:w="4819" w:type="dxa"/>
            <w:shd w:val="clear" w:color="auto" w:fill="F2F2F2" w:themeFill="background1" w:themeFillShade="F2"/>
          </w:tcPr>
          <w:p w14:paraId="189AA2A0" w14:textId="77777777" w:rsidR="00D72376" w:rsidRPr="00077ECA" w:rsidRDefault="00D72376" w:rsidP="00D72376">
            <w:pPr>
              <w:rPr>
                <w:b/>
                <w:color w:val="44546A"/>
                <w:sz w:val="24"/>
              </w:rPr>
            </w:pPr>
            <w:r w:rsidRPr="00077ECA">
              <w:rPr>
                <w:b/>
                <w:color w:val="44546A"/>
                <w:sz w:val="24"/>
              </w:rPr>
              <w:t>[New Zealand]</w:t>
            </w:r>
          </w:p>
          <w:p w14:paraId="42DFE857" w14:textId="25952FF3" w:rsidR="00D72376" w:rsidRDefault="006C692C" w:rsidP="006C692C">
            <w:r>
              <w:t xml:space="preserve">In New Zealand, new regulations need to be passed to ensure that both overseas and New Zealand </w:t>
            </w:r>
            <w:r w:rsidR="009F6ED4">
              <w:t>ARFP</w:t>
            </w:r>
            <w:r>
              <w:t xml:space="preserve"> funds can use the funds passport in New Zealand and in other member jurisdictions, as applicable. Those regulations will provide overseas </w:t>
            </w:r>
            <w:r w:rsidR="009F6ED4">
              <w:t>ARFP</w:t>
            </w:r>
            <w:r>
              <w:t xml:space="preserve"> funds with exemptions from certain requirements of New Zealand law, so that offers can be made in accordance with the </w:t>
            </w:r>
            <w:r w:rsidR="009F6ED4">
              <w:t>ARFP</w:t>
            </w:r>
            <w:r>
              <w:t xml:space="preserve"> regime.</w:t>
            </w:r>
          </w:p>
        </w:tc>
        <w:tc>
          <w:tcPr>
            <w:tcW w:w="4819" w:type="dxa"/>
            <w:shd w:val="clear" w:color="auto" w:fill="F2F2F2" w:themeFill="background1" w:themeFillShade="F2"/>
          </w:tcPr>
          <w:p w14:paraId="7814461F" w14:textId="004349D6" w:rsidR="006C692C" w:rsidRDefault="006C692C" w:rsidP="006C692C">
            <w:r>
              <w:t xml:space="preserve">We are targeting finalising the regulations by late 2017 in order to be ready for full implementation of the </w:t>
            </w:r>
            <w:r w:rsidR="009F6ED4">
              <w:t>ARFP</w:t>
            </w:r>
            <w:r>
              <w:t xml:space="preserve"> regime by the end of 2017.</w:t>
            </w:r>
          </w:p>
          <w:p w14:paraId="22E12FCB" w14:textId="0F562D4B" w:rsidR="00D72376" w:rsidRDefault="00D72376" w:rsidP="00881C52"/>
        </w:tc>
      </w:tr>
    </w:tbl>
    <w:p w14:paraId="15B4D10B" w14:textId="77777777" w:rsidR="001853BA" w:rsidRDefault="001853BA" w:rsidP="00D72376">
      <w:pPr>
        <w:sectPr w:rsidR="001853BA" w:rsidSect="00D72376">
          <w:pgSz w:w="11906" w:h="16838"/>
          <w:pgMar w:top="1134" w:right="1134" w:bottom="1134" w:left="1134" w:header="708" w:footer="708" w:gutter="0"/>
          <w:cols w:space="284"/>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546A"/>
        <w:tblLayout w:type="fixed"/>
        <w:tblCellMar>
          <w:left w:w="0" w:type="dxa"/>
          <w:right w:w="0" w:type="dxa"/>
        </w:tblCellMar>
        <w:tblLook w:val="04A0" w:firstRow="1" w:lastRow="0" w:firstColumn="1" w:lastColumn="0" w:noHBand="0" w:noVBand="1"/>
      </w:tblPr>
      <w:tblGrid>
        <w:gridCol w:w="9639"/>
      </w:tblGrid>
      <w:tr w:rsidR="001853BA" w:rsidRPr="009F34FC" w14:paraId="0A54702C" w14:textId="77777777" w:rsidTr="00AF6DE6">
        <w:trPr>
          <w:trHeight w:val="1020"/>
        </w:trPr>
        <w:tc>
          <w:tcPr>
            <w:tcW w:w="9639" w:type="dxa"/>
            <w:shd w:val="clear" w:color="auto" w:fill="44546A"/>
            <w:vAlign w:val="center"/>
          </w:tcPr>
          <w:p w14:paraId="54C45096" w14:textId="60867351" w:rsidR="001853BA" w:rsidRPr="00703372" w:rsidRDefault="001853BA" w:rsidP="00703372">
            <w:pPr>
              <w:pStyle w:val="Heading1"/>
              <w:ind w:left="227"/>
              <w:rPr>
                <w:sz w:val="32"/>
              </w:rPr>
            </w:pPr>
            <w:r w:rsidRPr="00703372">
              <w:rPr>
                <w:sz w:val="32"/>
              </w:rPr>
              <w:t>The Development of pre</w:t>
            </w:r>
            <w:r w:rsidR="00C109FE">
              <w:rPr>
                <w:sz w:val="32"/>
              </w:rPr>
              <w:noBreakHyphen/>
            </w:r>
            <w:r w:rsidRPr="00703372">
              <w:rPr>
                <w:sz w:val="32"/>
              </w:rPr>
              <w:t>Implementation in Member Economies</w:t>
            </w:r>
          </w:p>
        </w:tc>
      </w:tr>
    </w:tbl>
    <w:p w14:paraId="64600E1E" w14:textId="77777777" w:rsidR="001853BA" w:rsidRDefault="001853BA" w:rsidP="001853BA"/>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CellMar>
          <w:top w:w="113" w:type="dxa"/>
          <w:bottom w:w="113" w:type="dxa"/>
        </w:tblCellMar>
        <w:tblLook w:val="04A0" w:firstRow="1" w:lastRow="0" w:firstColumn="1" w:lastColumn="0" w:noHBand="0" w:noVBand="1"/>
      </w:tblPr>
      <w:tblGrid>
        <w:gridCol w:w="4819"/>
        <w:gridCol w:w="4819"/>
      </w:tblGrid>
      <w:tr w:rsidR="001853BA" w14:paraId="128D7CF4" w14:textId="77777777" w:rsidTr="00881C52">
        <w:trPr>
          <w:jc w:val="center"/>
        </w:trPr>
        <w:tc>
          <w:tcPr>
            <w:tcW w:w="4819" w:type="dxa"/>
            <w:shd w:val="clear" w:color="auto" w:fill="F2F2F2" w:themeFill="background1" w:themeFillShade="F2"/>
          </w:tcPr>
          <w:p w14:paraId="540A6F56" w14:textId="77777777" w:rsidR="001853BA" w:rsidRPr="00077ECA" w:rsidRDefault="001853BA" w:rsidP="001853BA">
            <w:pPr>
              <w:rPr>
                <w:b/>
                <w:color w:val="44546A"/>
                <w:sz w:val="24"/>
              </w:rPr>
            </w:pPr>
            <w:r w:rsidRPr="00077ECA">
              <w:rPr>
                <w:b/>
                <w:color w:val="44546A"/>
                <w:sz w:val="24"/>
              </w:rPr>
              <w:t>[Kingdom of Thailand]</w:t>
            </w:r>
          </w:p>
          <w:p w14:paraId="6808F2B0" w14:textId="43D262EA" w:rsidR="00881C52" w:rsidRDefault="006C692C" w:rsidP="006C692C">
            <w:r w:rsidRPr="006C692C">
              <w:t xml:space="preserve">Since the </w:t>
            </w:r>
            <w:proofErr w:type="spellStart"/>
            <w:r w:rsidRPr="006C692C">
              <w:t>MoC</w:t>
            </w:r>
            <w:proofErr w:type="spellEnd"/>
            <w:r w:rsidRPr="006C692C">
              <w:t xml:space="preserve"> came into effect on 30 June 2016, the SEC Thailand has undertaken a focus group with relevant stakeholders to explain and build a common understanding of the final version of the </w:t>
            </w:r>
            <w:r w:rsidR="009F6ED4">
              <w:t>ARFP</w:t>
            </w:r>
            <w:r w:rsidRPr="006C692C">
              <w:t xml:space="preserve"> Rules and has conducted a public hearing on Host Economy</w:t>
            </w:r>
            <w:r w:rsidR="00C109FE">
              <w:t>’</w:t>
            </w:r>
            <w:r w:rsidRPr="006C692C">
              <w:t xml:space="preserve">s Law and Regulation relating to </w:t>
            </w:r>
            <w:r w:rsidR="00BD24A3">
              <w:t xml:space="preserve">the </w:t>
            </w:r>
            <w:r w:rsidR="009F6ED4">
              <w:t>ARFP</w:t>
            </w:r>
            <w:r w:rsidRPr="006C692C">
              <w:t xml:space="preserve"> to seek industry</w:t>
            </w:r>
            <w:r w:rsidR="00C109FE">
              <w:t>’</w:t>
            </w:r>
            <w:r w:rsidRPr="006C692C">
              <w:t>s concerns and comments on fund offering to other host jurisdictions in which they have interest.</w:t>
            </w:r>
            <w:r>
              <w:t xml:space="preserve"> </w:t>
            </w:r>
          </w:p>
          <w:p w14:paraId="47FD5765" w14:textId="61A2AC5A" w:rsidR="001853BA" w:rsidRDefault="006C692C" w:rsidP="006C692C">
            <w:r w:rsidRPr="006C692C">
              <w:t>At present, SEC Thailand is in the process of drafting and issuing relevant regulations to accommodate the cross</w:t>
            </w:r>
            <w:r w:rsidR="00C109FE">
              <w:noBreakHyphen/>
            </w:r>
            <w:r w:rsidRPr="006C692C">
              <w:t xml:space="preserve">border offering of the </w:t>
            </w:r>
            <w:r w:rsidR="009F6ED4">
              <w:t>ARFP</w:t>
            </w:r>
            <w:r w:rsidRPr="006C692C">
              <w:t xml:space="preserve"> funds through </w:t>
            </w:r>
            <w:r w:rsidR="00881C52">
              <w:t xml:space="preserve">the </w:t>
            </w:r>
            <w:r w:rsidR="009F6ED4">
              <w:t>ARFP</w:t>
            </w:r>
            <w:r w:rsidRPr="006C692C">
              <w:t xml:space="preserve"> framework which aims to commence in 2018. </w:t>
            </w:r>
          </w:p>
        </w:tc>
        <w:tc>
          <w:tcPr>
            <w:tcW w:w="4819" w:type="dxa"/>
            <w:shd w:val="clear" w:color="auto" w:fill="F2F2F2" w:themeFill="background1" w:themeFillShade="F2"/>
          </w:tcPr>
          <w:p w14:paraId="5D0E8EEA" w14:textId="737B1220" w:rsidR="001853BA" w:rsidRDefault="006C692C" w:rsidP="00881C52">
            <w:r w:rsidRPr="006C692C">
              <w:t>As the necessary works of preparing the regulations come under the</w:t>
            </w:r>
            <w:r w:rsidR="00924853">
              <w:t xml:space="preserve"> purview of the SEC Thailand</w:t>
            </w:r>
            <w:r w:rsidRPr="006C692C">
              <w:t xml:space="preserve"> in conjunction with SEC Thailand</w:t>
            </w:r>
            <w:r w:rsidR="00C109FE">
              <w:t>’</w:t>
            </w:r>
            <w:r w:rsidRPr="006C692C">
              <w:t>s experiences gained from implementing the rules and procedures for ASEAN C</w:t>
            </w:r>
            <w:r w:rsidR="00881C52">
              <w:t>ollective Investment Schemes (C</w:t>
            </w:r>
            <w:r w:rsidRPr="006C692C">
              <w:t>IS</w:t>
            </w:r>
            <w:r w:rsidR="00881C52">
              <w:t>)</w:t>
            </w:r>
            <w:r w:rsidRPr="006C692C">
              <w:t xml:space="preserve"> framework, the SEC Thailand is of the view that all relevant regulations will be well prepared to meet the target timeline. In the interim, SEC Thailand is also looking for a potential Thai asset management company that is keen to establish a pilot </w:t>
            </w:r>
            <w:r w:rsidR="009F6ED4">
              <w:t>ARFP</w:t>
            </w:r>
            <w:r w:rsidRPr="006C692C">
              <w:t xml:space="preserve"> fund, as proposed by the </w:t>
            </w:r>
            <w:r w:rsidR="00881C52">
              <w:t>JC</w:t>
            </w:r>
            <w:r w:rsidRPr="006C692C">
              <w:t xml:space="preserve">, to have preliminary discussions in order to encourage, provide guidance and informal steers to build readiness prior to the launch of </w:t>
            </w:r>
            <w:r w:rsidR="009F6ED4">
              <w:t>ARFP</w:t>
            </w:r>
            <w:r w:rsidRPr="006C692C">
              <w:t xml:space="preserve"> framework.</w:t>
            </w:r>
          </w:p>
        </w:tc>
      </w:tr>
    </w:tbl>
    <w:p w14:paraId="58FF5D3A" w14:textId="77777777" w:rsidR="001853BA" w:rsidRDefault="001853BA" w:rsidP="001853BA"/>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CellMar>
          <w:top w:w="113" w:type="dxa"/>
          <w:bottom w:w="113" w:type="dxa"/>
        </w:tblCellMar>
        <w:tblLook w:val="04A0" w:firstRow="1" w:lastRow="0" w:firstColumn="1" w:lastColumn="0" w:noHBand="0" w:noVBand="1"/>
      </w:tblPr>
      <w:tblGrid>
        <w:gridCol w:w="4819"/>
        <w:gridCol w:w="4819"/>
      </w:tblGrid>
      <w:tr w:rsidR="001853BA" w14:paraId="50DDC546" w14:textId="77777777" w:rsidTr="00881C52">
        <w:trPr>
          <w:jc w:val="center"/>
        </w:trPr>
        <w:tc>
          <w:tcPr>
            <w:tcW w:w="4819" w:type="dxa"/>
            <w:shd w:val="clear" w:color="auto" w:fill="F2F2F2" w:themeFill="background1" w:themeFillShade="F2"/>
          </w:tcPr>
          <w:p w14:paraId="57A869F0" w14:textId="77777777" w:rsidR="001853BA" w:rsidRPr="00077ECA" w:rsidRDefault="001853BA" w:rsidP="001853BA">
            <w:pPr>
              <w:rPr>
                <w:b/>
                <w:color w:val="44546A"/>
                <w:sz w:val="24"/>
              </w:rPr>
            </w:pPr>
            <w:r w:rsidRPr="00077ECA">
              <w:rPr>
                <w:b/>
                <w:color w:val="44546A"/>
                <w:sz w:val="24"/>
              </w:rPr>
              <w:t>[Republic of Korea]</w:t>
            </w:r>
          </w:p>
          <w:p w14:paraId="3BA60FAC" w14:textId="3B0F54DF" w:rsidR="001853BA" w:rsidRDefault="006C692C" w:rsidP="006C692C">
            <w:r>
              <w:t xml:space="preserve">The Korean government is preparing a legal amendment for the implementation of </w:t>
            </w:r>
            <w:r w:rsidR="00BD24A3">
              <w:t xml:space="preserve">the </w:t>
            </w:r>
            <w:r w:rsidR="009F6ED4">
              <w:t>ARFP</w:t>
            </w:r>
            <w:r>
              <w:t xml:space="preserve">. The amendment aims to provide regulations broadly covering the management of </w:t>
            </w:r>
            <w:r w:rsidR="005D599D">
              <w:t>a</w:t>
            </w:r>
            <w:r w:rsidR="009F6ED4">
              <w:t>n</w:t>
            </w:r>
            <w:r w:rsidR="005D599D">
              <w:t xml:space="preserve"> </w:t>
            </w:r>
            <w:r w:rsidR="009F6ED4">
              <w:t>ARFP</w:t>
            </w:r>
            <w:r>
              <w:t xml:space="preserve"> fund, including its registration, sales and operations. The relevant authority is currently working with Korea Financial Investment Association (KOFIA), asset management firms and legal and other experts to systemi</w:t>
            </w:r>
            <w:r w:rsidR="005D599D">
              <w:t>s</w:t>
            </w:r>
            <w:r>
              <w:t xml:space="preserve">e the </w:t>
            </w:r>
            <w:r w:rsidR="009F6ED4">
              <w:t>ARFP</w:t>
            </w:r>
            <w:r w:rsidR="005D599D">
              <w:t>.</w:t>
            </w:r>
            <w:r>
              <w:t xml:space="preserve"> </w:t>
            </w:r>
            <w:r w:rsidR="005D599D">
              <w:t>T</w:t>
            </w:r>
            <w:r>
              <w:t xml:space="preserve">he official procedure for legal amendment is planned for the second half of 2017, after the draft amendment has been prepared. </w:t>
            </w:r>
          </w:p>
        </w:tc>
        <w:tc>
          <w:tcPr>
            <w:tcW w:w="4819" w:type="dxa"/>
            <w:shd w:val="clear" w:color="auto" w:fill="F2F2F2" w:themeFill="background1" w:themeFillShade="F2"/>
          </w:tcPr>
          <w:p w14:paraId="2B136560" w14:textId="31EB09DB" w:rsidR="006C692C" w:rsidRDefault="006C692C" w:rsidP="006C692C">
            <w:r>
              <w:t xml:space="preserve">While there is a rising interest in outbound business using </w:t>
            </w:r>
            <w:r w:rsidR="005D599D">
              <w:t xml:space="preserve">the </w:t>
            </w:r>
            <w:r w:rsidR="009F6ED4">
              <w:t>ARFP</w:t>
            </w:r>
            <w:r>
              <w:t xml:space="preserve"> among large investment firms, specific movement</w:t>
            </w:r>
            <w:r w:rsidR="005D599D">
              <w:t xml:space="preserve"> is yet to be seen</w:t>
            </w:r>
            <w:r>
              <w:t>. It seems likely that there will be more substantial response after the regulatory scheme becomes more visible throughout the latter half of the year.</w:t>
            </w:r>
          </w:p>
          <w:p w14:paraId="6CB402D6" w14:textId="7A806799" w:rsidR="001853BA" w:rsidRDefault="001853BA" w:rsidP="001853BA"/>
        </w:tc>
      </w:tr>
    </w:tbl>
    <w:p w14:paraId="66E60018" w14:textId="77777777" w:rsidR="001853BA" w:rsidRDefault="001853BA" w:rsidP="00D72376">
      <w:pPr>
        <w:sectPr w:rsidR="001853BA" w:rsidSect="00D72376">
          <w:pgSz w:w="11906" w:h="16838"/>
          <w:pgMar w:top="1134" w:right="1134" w:bottom="1134" w:left="1134" w:header="708" w:footer="708" w:gutter="0"/>
          <w:cols w:space="284"/>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78"/>
        <w:gridCol w:w="4961"/>
      </w:tblGrid>
      <w:tr w:rsidR="001853BA" w:rsidRPr="009F34FC" w14:paraId="3BCB4D6E" w14:textId="77777777" w:rsidTr="00AF6DE6">
        <w:trPr>
          <w:trHeight w:val="1361"/>
        </w:trPr>
        <w:tc>
          <w:tcPr>
            <w:tcW w:w="4678" w:type="dxa"/>
            <w:shd w:val="clear" w:color="auto" w:fill="D9D9D9" w:themeFill="background1" w:themeFillShade="D9"/>
          </w:tcPr>
          <w:p w14:paraId="209E879D" w14:textId="77777777" w:rsidR="001853BA" w:rsidRPr="009F34FC" w:rsidRDefault="001853BA" w:rsidP="00881C52">
            <w:pPr>
              <w:spacing w:after="100" w:afterAutospacing="1"/>
              <w:contextualSpacing/>
            </w:pPr>
            <w:r w:rsidRPr="001853BA">
              <w:rPr>
                <w:noProof/>
                <w:lang w:eastAsia="en-AU"/>
              </w:rPr>
              <w:drawing>
                <wp:inline distT="0" distB="0" distL="0" distR="0" wp14:anchorId="4446A282" wp14:editId="64D51CC8">
                  <wp:extent cx="3065951" cy="2265791"/>
                  <wp:effectExtent l="0" t="0" r="1270" b="1270"/>
                  <wp:docPr id="112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3091" cy="2263677"/>
                          </a:xfrm>
                          <a:prstGeom prst="rect">
                            <a:avLst/>
                          </a:prstGeom>
                          <a:noFill/>
                          <a:ln>
                            <a:noFill/>
                          </a:ln>
                          <a:extLst/>
                        </pic:spPr>
                      </pic:pic>
                    </a:graphicData>
                  </a:graphic>
                </wp:inline>
              </w:drawing>
            </w:r>
          </w:p>
        </w:tc>
        <w:tc>
          <w:tcPr>
            <w:tcW w:w="4961" w:type="dxa"/>
            <w:shd w:val="clear" w:color="auto" w:fill="44546A"/>
          </w:tcPr>
          <w:p w14:paraId="7CC56547" w14:textId="09BBFAD6" w:rsidR="001853BA" w:rsidRPr="009F34FC" w:rsidRDefault="001853BA" w:rsidP="00703372">
            <w:pPr>
              <w:pStyle w:val="Heading1"/>
              <w:spacing w:before="360" w:after="360"/>
              <w:ind w:left="227"/>
              <w:rPr>
                <w:sz w:val="24"/>
              </w:rPr>
            </w:pPr>
            <w:r w:rsidRPr="001853BA">
              <w:t>Non</w:t>
            </w:r>
            <w:r w:rsidR="00C109FE">
              <w:noBreakHyphen/>
            </w:r>
            <w:r w:rsidRPr="001853BA">
              <w:t>Participant</w:t>
            </w:r>
            <w:r w:rsidR="00C109FE">
              <w:t xml:space="preserve"> — </w:t>
            </w:r>
            <w:r>
              <w:t>Engagement</w:t>
            </w:r>
          </w:p>
        </w:tc>
      </w:tr>
    </w:tbl>
    <w:p w14:paraId="01663960" w14:textId="77777777" w:rsidR="001853BA" w:rsidRDefault="001853BA" w:rsidP="001853BA"/>
    <w:p w14:paraId="49B3C522" w14:textId="77777777" w:rsidR="001853BA" w:rsidRDefault="001853BA" w:rsidP="00D72376">
      <w:pPr>
        <w:sectPr w:rsidR="001853BA" w:rsidSect="00D72376">
          <w:pgSz w:w="11906" w:h="16838"/>
          <w:pgMar w:top="1134" w:right="1134" w:bottom="1134" w:left="1134" w:header="708" w:footer="708" w:gutter="0"/>
          <w:cols w:space="284"/>
          <w:docGrid w:linePitch="360"/>
        </w:sectPr>
      </w:pPr>
    </w:p>
    <w:p w14:paraId="5BE3D35E" w14:textId="2E9ADDDE" w:rsidR="00B63CE1" w:rsidRDefault="00B63CE1" w:rsidP="00B63CE1">
      <w:r>
        <w:t xml:space="preserve">The JC has continued an active process of engagement with other economies in the Asia </w:t>
      </w:r>
      <w:r w:rsidR="003F6287">
        <w:t>r</w:t>
      </w:r>
      <w:r>
        <w:t xml:space="preserve">egion that might be interested to join the </w:t>
      </w:r>
      <w:r w:rsidR="009F6ED4">
        <w:t>ARFP</w:t>
      </w:r>
      <w:r>
        <w:t>. For example, at the first face to face JC meeting, officials from Indonesia engaged in discussion and officials for Malaysia attended as observers. At another meeting, officials of the Monetary Authority of Singapore explained Singapore</w:t>
      </w:r>
      <w:r w:rsidR="00C109FE">
        <w:t>’</w:t>
      </w:r>
      <w:r>
        <w:t>s position about participation.</w:t>
      </w:r>
    </w:p>
    <w:p w14:paraId="32747AEE" w14:textId="0D5BC124" w:rsidR="003F6287" w:rsidRDefault="00B63CE1" w:rsidP="00B63CE1">
      <w:r>
        <w:t>Australia has taken a number of steps in engagement</w:t>
      </w:r>
      <w:r w:rsidR="00C109FE">
        <w:t xml:space="preserve">. </w:t>
      </w:r>
      <w:r>
        <w:t xml:space="preserve">Prior to the release of the legislative package in Australia, the draft legislation for both </w:t>
      </w:r>
      <w:r w:rsidR="003F6287">
        <w:t xml:space="preserve">the </w:t>
      </w:r>
      <w:r w:rsidR="009F6ED4">
        <w:t>ARFP</w:t>
      </w:r>
      <w:r>
        <w:t xml:space="preserve"> and </w:t>
      </w:r>
      <w:r w:rsidR="003F6287">
        <w:t>CCIV frameworks</w:t>
      </w:r>
      <w:r>
        <w:t xml:space="preserve"> </w:t>
      </w:r>
      <w:r w:rsidR="003F6287">
        <w:t>has been</w:t>
      </w:r>
      <w:r>
        <w:t xml:space="preserve"> shared with representatives from other </w:t>
      </w:r>
      <w:r w:rsidR="009F6ED4">
        <w:t>ARFP</w:t>
      </w:r>
      <w:r>
        <w:t xml:space="preserve"> economies such as New Zealand. These ongoing discussions have helped facilitate the sharing of information and experiences to assist with the drafting and consultation process. While developing its new </w:t>
      </w:r>
      <w:r w:rsidR="003F6287">
        <w:t>CCIV</w:t>
      </w:r>
      <w:r>
        <w:t xml:space="preserve"> proposal, Australia has benefited from input from </w:t>
      </w:r>
      <w:r w:rsidR="009F6ED4">
        <w:t>ARFP</w:t>
      </w:r>
      <w:r>
        <w:t xml:space="preserve"> economies and Singapore. Australia has also been engaging with </w:t>
      </w:r>
      <w:r w:rsidR="009F6ED4">
        <w:t>ARFP</w:t>
      </w:r>
      <w:r>
        <w:t xml:space="preserve"> economy industry representatives on the implementation of the </w:t>
      </w:r>
      <w:r w:rsidR="009F6ED4">
        <w:t>ARFP</w:t>
      </w:r>
      <w:r>
        <w:t xml:space="preserve"> in Australia. </w:t>
      </w:r>
    </w:p>
    <w:p w14:paraId="3B7E9E2A" w14:textId="5A6D5304" w:rsidR="00B63CE1" w:rsidRDefault="00B63CE1" w:rsidP="00B63CE1">
      <w:r>
        <w:t>In addition, Australia has undertaken capacity building steps with Indonesia to assist Indonesian officials</w:t>
      </w:r>
      <w:r w:rsidR="003F6287">
        <w:t xml:space="preserve"> in their</w:t>
      </w:r>
      <w:r>
        <w:t xml:space="preserve"> assess</w:t>
      </w:r>
      <w:r w:rsidR="003F6287">
        <w:t>ing</w:t>
      </w:r>
      <w:r>
        <w:t xml:space="preserve"> and decision making about participation and has plans for further capacity building activities</w:t>
      </w:r>
      <w:r w:rsidR="00C109FE">
        <w:t xml:space="preserve">. </w:t>
      </w:r>
      <w:r>
        <w:t xml:space="preserve">Australia has also engaged with officials of the Securities and Exchange Board of India to provide information about the </w:t>
      </w:r>
      <w:r w:rsidR="009F6ED4">
        <w:t>ARFP</w:t>
      </w:r>
      <w:r>
        <w:t xml:space="preserve"> and eligibility criteria. The JC supports these initiatives.</w:t>
      </w:r>
    </w:p>
    <w:p w14:paraId="00B64FBF" w14:textId="1101C2BB" w:rsidR="001853BA" w:rsidRDefault="00B63CE1" w:rsidP="00B63CE1">
      <w:pPr>
        <w:sectPr w:rsidR="001853BA" w:rsidSect="001853BA">
          <w:type w:val="continuous"/>
          <w:pgSz w:w="11906" w:h="16838"/>
          <w:pgMar w:top="1134" w:right="1134" w:bottom="1134" w:left="1134" w:header="708" w:footer="708" w:gutter="0"/>
          <w:cols w:num="2" w:space="284"/>
          <w:docGrid w:linePitch="360"/>
        </w:sectPr>
      </w:pPr>
      <w:r>
        <w:br w:type="column"/>
        <w:t xml:space="preserve">The Philippines, which aims to be a member of </w:t>
      </w:r>
      <w:r w:rsidR="00BD24A3">
        <w:t xml:space="preserve">the </w:t>
      </w:r>
      <w:r w:rsidR="009F6ED4">
        <w:t>ARFP</w:t>
      </w:r>
      <w:r>
        <w:t xml:space="preserve">, is currently not eligible </w:t>
      </w:r>
      <w:r w:rsidR="003F6287">
        <w:t>to be a</w:t>
      </w:r>
      <w:r>
        <w:t xml:space="preserve"> member </w:t>
      </w:r>
      <w:r w:rsidR="003F6287">
        <w:t xml:space="preserve">as it is not a </w:t>
      </w:r>
      <w:r>
        <w:t xml:space="preserve">signatory </w:t>
      </w:r>
      <w:r w:rsidR="003F6287">
        <w:t>under the International Organisation of Securities Commissions</w:t>
      </w:r>
      <w:r w:rsidR="00C109FE">
        <w:t>’</w:t>
      </w:r>
      <w:r w:rsidR="003F6287">
        <w:t xml:space="preserve"> Multilateral Memorandum of Understanding Concerning Consultation and Cooperation and the Exchange of Information</w:t>
      </w:r>
      <w:r>
        <w:t xml:space="preserve"> </w:t>
      </w:r>
      <w:r w:rsidR="003F6287">
        <w:t>(</w:t>
      </w:r>
      <w:r>
        <w:t xml:space="preserve">IOSCO </w:t>
      </w:r>
      <w:proofErr w:type="spellStart"/>
      <w:r>
        <w:t>MM</w:t>
      </w:r>
      <w:r w:rsidR="003F6287">
        <w:t>o</w:t>
      </w:r>
      <w:r>
        <w:t>U</w:t>
      </w:r>
      <w:proofErr w:type="spellEnd"/>
      <w:r w:rsidR="003F6287">
        <w:t>)</w:t>
      </w:r>
      <w:r>
        <w:t xml:space="preserve"> Appendix A. Japan has had an active role in assessing the Philippines</w:t>
      </w:r>
      <w:r w:rsidR="00C109FE">
        <w:t>’</w:t>
      </w:r>
      <w:r>
        <w:t xml:space="preserve"> ability to be</w:t>
      </w:r>
      <w:r w:rsidR="003F6287">
        <w:t>come a</w:t>
      </w:r>
      <w:r>
        <w:t xml:space="preserve"> signatory to</w:t>
      </w:r>
      <w:r w:rsidR="003F6287">
        <w:t xml:space="preserve"> IOSCO</w:t>
      </w:r>
      <w:r w:rsidR="00C109FE">
        <w:t>’</w:t>
      </w:r>
      <w:r w:rsidR="003F6287">
        <w:t>s</w:t>
      </w:r>
      <w:r>
        <w:t xml:space="preserve"> </w:t>
      </w:r>
      <w:proofErr w:type="spellStart"/>
      <w:r>
        <w:t>MMoU</w:t>
      </w:r>
      <w:proofErr w:type="spellEnd"/>
      <w:r w:rsidR="0065554F">
        <w:t>.</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78"/>
        <w:gridCol w:w="4961"/>
      </w:tblGrid>
      <w:tr w:rsidR="001853BA" w:rsidRPr="009F34FC" w14:paraId="5FC37A35" w14:textId="77777777" w:rsidTr="00AF6DE6">
        <w:trPr>
          <w:trHeight w:val="3515"/>
        </w:trPr>
        <w:tc>
          <w:tcPr>
            <w:tcW w:w="4678" w:type="dxa"/>
            <w:shd w:val="clear" w:color="auto" w:fill="D9D9D9" w:themeFill="background1" w:themeFillShade="D9"/>
          </w:tcPr>
          <w:p w14:paraId="6D1DFED1" w14:textId="77777777" w:rsidR="001853BA" w:rsidRPr="009F34FC" w:rsidRDefault="001853BA" w:rsidP="00881C52">
            <w:pPr>
              <w:spacing w:after="100" w:afterAutospacing="1"/>
              <w:contextualSpacing/>
            </w:pPr>
          </w:p>
        </w:tc>
        <w:tc>
          <w:tcPr>
            <w:tcW w:w="4961" w:type="dxa"/>
            <w:shd w:val="clear" w:color="auto" w:fill="44546A"/>
          </w:tcPr>
          <w:p w14:paraId="32C58D1E" w14:textId="77777777" w:rsidR="001853BA" w:rsidRPr="009F34FC" w:rsidRDefault="001853BA" w:rsidP="00703372">
            <w:pPr>
              <w:pStyle w:val="Heading1"/>
              <w:spacing w:before="360"/>
              <w:ind w:left="227"/>
              <w:rPr>
                <w:sz w:val="24"/>
              </w:rPr>
            </w:pPr>
            <w:r w:rsidRPr="001853BA">
              <w:t>Progress of Tax Issues</w:t>
            </w:r>
          </w:p>
        </w:tc>
      </w:tr>
    </w:tbl>
    <w:p w14:paraId="693439F0" w14:textId="77777777" w:rsidR="001853BA" w:rsidRDefault="001853BA" w:rsidP="001853BA"/>
    <w:p w14:paraId="139FA19A" w14:textId="77777777" w:rsidR="001853BA" w:rsidRDefault="001853BA" w:rsidP="001853BA">
      <w:pPr>
        <w:sectPr w:rsidR="001853BA" w:rsidSect="001853BA">
          <w:pgSz w:w="11906" w:h="16838"/>
          <w:pgMar w:top="1134" w:right="1134" w:bottom="1134" w:left="1134" w:header="708" w:footer="708" w:gutter="0"/>
          <w:cols w:space="284"/>
          <w:docGrid w:linePitch="360"/>
        </w:sectPr>
      </w:pPr>
    </w:p>
    <w:p w14:paraId="29E89814" w14:textId="172EFD28" w:rsidR="00B63CE1" w:rsidRDefault="00B63CE1" w:rsidP="00B63CE1">
      <w:r>
        <w:t xml:space="preserve">Australia will convene a meeting of the Tax Reference Working Group bringing together tax specialists from participating and prospective </w:t>
      </w:r>
      <w:r w:rsidR="009F6ED4">
        <w:t>ARFP</w:t>
      </w:r>
      <w:r>
        <w:t xml:space="preserve"> economies which will highlight the importance of tax neutrality between </w:t>
      </w:r>
      <w:r w:rsidR="009F6ED4">
        <w:t>ARFP</w:t>
      </w:r>
      <w:r>
        <w:t xml:space="preserve"> economies to the effective implementation of the </w:t>
      </w:r>
      <w:r w:rsidR="009F6ED4">
        <w:t>ARFP</w:t>
      </w:r>
      <w:r>
        <w:t xml:space="preserve">. This Working Group will reinforce the open and consultative dialogue between </w:t>
      </w:r>
      <w:r w:rsidR="009F6ED4">
        <w:t>ARFP</w:t>
      </w:r>
      <w:r>
        <w:t xml:space="preserve"> economies and will provide a good opportunity to reiterate that the tax treatment of funds and investors in the </w:t>
      </w:r>
      <w:r w:rsidR="009F6ED4">
        <w:t>ARFP</w:t>
      </w:r>
      <w:r>
        <w:t xml:space="preserve"> should not be a barrier to greater market access.</w:t>
      </w:r>
    </w:p>
    <w:p w14:paraId="62789C6E" w14:textId="5D1EC3B1" w:rsidR="001853BA" w:rsidRDefault="00B63CE1" w:rsidP="00B63CE1">
      <w:r>
        <w:br w:type="column"/>
        <w:t>Domestically, Australia continues to take steps to improve the competitiveness of the Australian funds management industry, including through adjusting its tax settings. These include legislating the Investment Manager Regime, and announcing a tax and regulatory framework for a new CCIV. This new CCIV will provide prospective investors with access to a passive investment vehicle with flow through taxation, using vehicles commonly used overseas and which will be regulated as a financial services product under Australia</w:t>
      </w:r>
      <w:r w:rsidR="00C109FE">
        <w:t>’</w:t>
      </w:r>
      <w:r>
        <w:t>s financial services regime. Following the implementation of this new CCIV, the Australian Government will turn its attention to establishing a Limited Partnership Collective Investment Vehicle to further expand the suite of service offerings available to Australian fund managers.</w:t>
      </w:r>
    </w:p>
    <w:p w14:paraId="48160313" w14:textId="77777777" w:rsidR="001853BA" w:rsidRDefault="001853BA" w:rsidP="001853BA">
      <w:pPr>
        <w:sectPr w:rsidR="001853BA" w:rsidSect="001853BA">
          <w:type w:val="continuous"/>
          <w:pgSz w:w="11906" w:h="16838"/>
          <w:pgMar w:top="1134" w:right="1134" w:bottom="1134" w:left="1134" w:header="708" w:footer="708" w:gutter="0"/>
          <w:cols w:num="2" w:space="284"/>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78"/>
        <w:gridCol w:w="4961"/>
      </w:tblGrid>
      <w:tr w:rsidR="001853BA" w:rsidRPr="009F34FC" w14:paraId="400BC00D" w14:textId="77777777" w:rsidTr="00AF6DE6">
        <w:trPr>
          <w:trHeight w:val="1361"/>
        </w:trPr>
        <w:tc>
          <w:tcPr>
            <w:tcW w:w="4678" w:type="dxa"/>
            <w:shd w:val="clear" w:color="auto" w:fill="D9D9D9" w:themeFill="background1" w:themeFillShade="D9"/>
          </w:tcPr>
          <w:p w14:paraId="0F80C4F3" w14:textId="77777777" w:rsidR="001853BA" w:rsidRPr="009F34FC" w:rsidRDefault="001853BA" w:rsidP="007A6ED9">
            <w:pPr>
              <w:spacing w:after="100" w:afterAutospacing="1"/>
              <w:contextualSpacing/>
            </w:pPr>
            <w:r w:rsidRPr="001853BA">
              <w:rPr>
                <w:noProof/>
                <w:lang w:eastAsia="en-AU"/>
              </w:rPr>
              <w:drawing>
                <wp:inline distT="0" distB="0" distL="0" distR="0" wp14:anchorId="5EBE1067" wp14:editId="3C8820E6">
                  <wp:extent cx="3008961" cy="2219325"/>
                  <wp:effectExtent l="0" t="0" r="127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1940" cy="2221522"/>
                          </a:xfrm>
                          <a:prstGeom prst="rect">
                            <a:avLst/>
                          </a:prstGeom>
                          <a:noFill/>
                          <a:ln>
                            <a:noFill/>
                          </a:ln>
                          <a:extLst/>
                        </pic:spPr>
                      </pic:pic>
                    </a:graphicData>
                  </a:graphic>
                </wp:inline>
              </w:drawing>
            </w:r>
          </w:p>
        </w:tc>
        <w:tc>
          <w:tcPr>
            <w:tcW w:w="4961" w:type="dxa"/>
            <w:shd w:val="clear" w:color="auto" w:fill="44546A"/>
          </w:tcPr>
          <w:p w14:paraId="5A1057F9" w14:textId="5BE722C4" w:rsidR="001853BA" w:rsidRPr="009F34FC" w:rsidRDefault="001853BA" w:rsidP="00703372">
            <w:pPr>
              <w:pStyle w:val="Heading1"/>
              <w:spacing w:before="360"/>
              <w:ind w:left="227"/>
              <w:rPr>
                <w:sz w:val="24"/>
              </w:rPr>
            </w:pPr>
            <w:r w:rsidRPr="001853BA">
              <w:t>Fund Back</w:t>
            </w:r>
            <w:r w:rsidR="00C109FE">
              <w:noBreakHyphen/>
            </w:r>
            <w:r w:rsidRPr="001853BA">
              <w:t>office Processing</w:t>
            </w:r>
          </w:p>
        </w:tc>
      </w:tr>
    </w:tbl>
    <w:p w14:paraId="1DD38F56" w14:textId="77777777" w:rsidR="001853BA" w:rsidRDefault="001853BA" w:rsidP="001853BA"/>
    <w:p w14:paraId="582E9D33" w14:textId="77777777" w:rsidR="001853BA" w:rsidRDefault="001853BA" w:rsidP="001853BA">
      <w:pPr>
        <w:sectPr w:rsidR="001853BA" w:rsidSect="001853BA">
          <w:pgSz w:w="11906" w:h="16838"/>
          <w:pgMar w:top="1134" w:right="1134" w:bottom="1134" w:left="1134" w:header="708" w:footer="708" w:gutter="0"/>
          <w:cols w:space="284"/>
          <w:docGrid w:linePitch="360"/>
        </w:sectPr>
      </w:pPr>
    </w:p>
    <w:p w14:paraId="47104ABF" w14:textId="5F30AA8D" w:rsidR="00B63CE1" w:rsidRDefault="00B63CE1" w:rsidP="00B63CE1">
      <w:r>
        <w:t xml:space="preserve">To promote better understanding </w:t>
      </w:r>
      <w:r w:rsidR="004A1C83">
        <w:t>of</w:t>
      </w:r>
      <w:r>
        <w:t xml:space="preserve"> issues and challenges related to fund back</w:t>
      </w:r>
      <w:r w:rsidR="00C109FE">
        <w:noBreakHyphen/>
      </w:r>
      <w:r>
        <w:t xml:space="preserve">office processing, </w:t>
      </w:r>
      <w:r w:rsidR="0065554F">
        <w:t xml:space="preserve">in April 2017, </w:t>
      </w:r>
      <w:r>
        <w:t xml:space="preserve">the JC took part in the </w:t>
      </w:r>
      <w:r w:rsidR="004A1C83">
        <w:t>Asia Pacific</w:t>
      </w:r>
      <w:r>
        <w:t xml:space="preserve"> Financial Forum</w:t>
      </w:r>
      <w:r w:rsidR="003F6287">
        <w:t xml:space="preserve"> (APFF)</w:t>
      </w:r>
      <w:r>
        <w:t xml:space="preserve"> in Seoul</w:t>
      </w:r>
      <w:r w:rsidR="00764C6A">
        <w:t xml:space="preserve">, </w:t>
      </w:r>
      <w:r w:rsidR="003F6287">
        <w:t>Korea,</w:t>
      </w:r>
      <w:r>
        <w:t xml:space="preserve"> to discuss a range of topics including </w:t>
      </w:r>
      <w:r w:rsidR="009F6ED4">
        <w:t>ARFP</w:t>
      </w:r>
      <w:r>
        <w:t xml:space="preserve"> funds, fund service infrastructure, and fund back</w:t>
      </w:r>
      <w:r w:rsidR="00C109FE">
        <w:noBreakHyphen/>
      </w:r>
      <w:r>
        <w:t xml:space="preserve">office standardization. </w:t>
      </w:r>
      <w:r w:rsidR="004A1C83">
        <w:t>In</w:t>
      </w:r>
      <w:r>
        <w:t xml:space="preserve"> regards to </w:t>
      </w:r>
      <w:proofErr w:type="spellStart"/>
      <w:r>
        <w:t>passporting</w:t>
      </w:r>
      <w:proofErr w:type="spellEnd"/>
      <w:r>
        <w:t xml:space="preserve"> schemes, the importance of </w:t>
      </w:r>
      <w:r w:rsidR="004A1C83">
        <w:t xml:space="preserve">a </w:t>
      </w:r>
      <w:r>
        <w:t>standardized fund registration process</w:t>
      </w:r>
      <w:r w:rsidR="004A1C83">
        <w:t xml:space="preserve"> in the ASEAN </w:t>
      </w:r>
      <w:r w:rsidR="00881C52">
        <w:t xml:space="preserve">CIS </w:t>
      </w:r>
      <w:r w:rsidR="003F6287">
        <w:t>framework</w:t>
      </w:r>
      <w:r>
        <w:t xml:space="preserve">, as well as the successful establishment of a pilot fund </w:t>
      </w:r>
      <w:r w:rsidR="003F6287">
        <w:t>in the China</w:t>
      </w:r>
      <w:r w:rsidR="00C109FE">
        <w:noBreakHyphen/>
      </w:r>
      <w:r w:rsidR="003F6287">
        <w:t xml:space="preserve">HK Mutual Recognition for Funds (MRF) </w:t>
      </w:r>
      <w:r>
        <w:t>were highlighted. The discussion on fund back</w:t>
      </w:r>
      <w:r w:rsidR="00C109FE">
        <w:noBreakHyphen/>
      </w:r>
      <w:r>
        <w:t>office processing focused on the need to harmonize different business processes and terminology used between markets. In addition, the JC took note of the activities undertaken by a consultative group on fund back</w:t>
      </w:r>
      <w:r w:rsidR="00C109FE">
        <w:noBreakHyphen/>
      </w:r>
      <w:r>
        <w:t xml:space="preserve">office processing standardization (AFSF) led by national central securities depositories in the region. </w:t>
      </w:r>
    </w:p>
    <w:p w14:paraId="297FF222" w14:textId="05F8C291" w:rsidR="00B63CE1" w:rsidRDefault="00B63CE1" w:rsidP="00B63CE1">
      <w:r>
        <w:br w:type="column"/>
        <w:t>Fund back</w:t>
      </w:r>
      <w:r w:rsidR="00C109FE">
        <w:noBreakHyphen/>
      </w:r>
      <w:r>
        <w:t>office processing refers to the administrative activities that follow a trading order, including account opening, order routing/execution, book</w:t>
      </w:r>
      <w:r w:rsidR="00C109FE">
        <w:noBreakHyphen/>
      </w:r>
      <w:r>
        <w:t>keeping, registration, settlement, etc. between market players. Currently, fund back</w:t>
      </w:r>
      <w:r w:rsidR="00C109FE">
        <w:noBreakHyphen/>
      </w:r>
      <w:r>
        <w:t>office operations across Asia see a prevalence of disparate practices, manual interventions, and proprietary systems. The JC will continue to support discussion related to fund back</w:t>
      </w:r>
      <w:r w:rsidR="00C109FE">
        <w:noBreakHyphen/>
      </w:r>
      <w:r>
        <w:t xml:space="preserve">office processing, in order to enhance efficiency and accuracy for fund market players </w:t>
      </w:r>
      <w:r w:rsidR="009B085F">
        <w:t>seeking</w:t>
      </w:r>
      <w:r>
        <w:t xml:space="preserve"> to engage in the trading of </w:t>
      </w:r>
      <w:r w:rsidR="009F6ED4">
        <w:t>ARFP</w:t>
      </w:r>
      <w:r>
        <w:t xml:space="preserve"> funds. </w:t>
      </w:r>
    </w:p>
    <w:p w14:paraId="66D720E9" w14:textId="2C78C1BE" w:rsidR="001853BA" w:rsidRDefault="00B63CE1" w:rsidP="00B63CE1">
      <w:pPr>
        <w:sectPr w:rsidR="001853BA" w:rsidSect="001853BA">
          <w:type w:val="continuous"/>
          <w:pgSz w:w="11906" w:h="16838"/>
          <w:pgMar w:top="1134" w:right="1134" w:bottom="1134" w:left="1134" w:header="708" w:footer="708" w:gutter="0"/>
          <w:cols w:num="2" w:space="284"/>
          <w:docGrid w:linePitch="360"/>
        </w:sectPr>
      </w:pPr>
      <w:r>
        <w:t> </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78"/>
        <w:gridCol w:w="4961"/>
      </w:tblGrid>
      <w:tr w:rsidR="001853BA" w:rsidRPr="009F34FC" w14:paraId="022CE183" w14:textId="77777777" w:rsidTr="00AF6DE6">
        <w:trPr>
          <w:trHeight w:val="1361"/>
        </w:trPr>
        <w:tc>
          <w:tcPr>
            <w:tcW w:w="4678" w:type="dxa"/>
            <w:shd w:val="clear" w:color="auto" w:fill="D9D9D9" w:themeFill="background1" w:themeFillShade="D9"/>
          </w:tcPr>
          <w:p w14:paraId="661681DA" w14:textId="77777777" w:rsidR="001853BA" w:rsidRPr="009F34FC" w:rsidRDefault="00075FA2" w:rsidP="00881C52">
            <w:pPr>
              <w:spacing w:after="100" w:afterAutospacing="1"/>
              <w:contextualSpacing/>
            </w:pPr>
            <w:r w:rsidRPr="00075FA2">
              <w:rPr>
                <w:noProof/>
                <w:lang w:eastAsia="en-AU"/>
              </w:rPr>
              <w:drawing>
                <wp:inline distT="0" distB="0" distL="0" distR="0" wp14:anchorId="4D62FD75" wp14:editId="69A24C8A">
                  <wp:extent cx="2981325" cy="2211137"/>
                  <wp:effectExtent l="0" t="0" r="0" b="0"/>
                  <wp:docPr id="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977619" cy="2208389"/>
                          </a:xfrm>
                          <a:prstGeom prst="rect">
                            <a:avLst/>
                          </a:prstGeom>
                        </pic:spPr>
                      </pic:pic>
                    </a:graphicData>
                  </a:graphic>
                </wp:inline>
              </w:drawing>
            </w:r>
          </w:p>
        </w:tc>
        <w:tc>
          <w:tcPr>
            <w:tcW w:w="4961" w:type="dxa"/>
            <w:shd w:val="clear" w:color="auto" w:fill="44546A"/>
          </w:tcPr>
          <w:p w14:paraId="08808807" w14:textId="77777777" w:rsidR="00075FA2" w:rsidRPr="00075FA2" w:rsidRDefault="00075FA2" w:rsidP="00703372">
            <w:pPr>
              <w:pStyle w:val="Heading1"/>
              <w:spacing w:before="360"/>
              <w:ind w:left="227"/>
            </w:pPr>
            <w:r w:rsidRPr="00075FA2">
              <w:rPr>
                <w:lang w:val="en-US"/>
              </w:rPr>
              <w:t xml:space="preserve">Industry </w:t>
            </w:r>
            <w:r>
              <w:rPr>
                <w:lang w:val="en-US"/>
              </w:rPr>
              <w:br/>
            </w:r>
            <w:r w:rsidRPr="00075FA2">
              <w:rPr>
                <w:lang w:val="en-US"/>
              </w:rPr>
              <w:t>Outreach</w:t>
            </w:r>
          </w:p>
          <w:p w14:paraId="45EF2360" w14:textId="77777777" w:rsidR="001853BA" w:rsidRPr="009F34FC" w:rsidRDefault="001853BA" w:rsidP="00881C52">
            <w:pPr>
              <w:ind w:left="227"/>
              <w:rPr>
                <w:rFonts w:asciiTheme="majorHAnsi" w:hAnsiTheme="majorHAnsi"/>
                <w:sz w:val="24"/>
              </w:rPr>
            </w:pPr>
          </w:p>
        </w:tc>
      </w:tr>
    </w:tbl>
    <w:p w14:paraId="0ED40495" w14:textId="77777777" w:rsidR="001853BA" w:rsidRDefault="001853BA" w:rsidP="001853BA"/>
    <w:p w14:paraId="76C07F20" w14:textId="77777777" w:rsidR="001853BA" w:rsidRDefault="001853BA" w:rsidP="001853BA">
      <w:pPr>
        <w:sectPr w:rsidR="001853BA" w:rsidSect="001853BA">
          <w:pgSz w:w="11906" w:h="16838"/>
          <w:pgMar w:top="1134" w:right="1134" w:bottom="1134" w:left="1134" w:header="708" w:footer="708" w:gutter="0"/>
          <w:cols w:space="284"/>
          <w:docGrid w:linePitch="360"/>
        </w:sectPr>
      </w:pPr>
    </w:p>
    <w:p w14:paraId="6481C07D" w14:textId="42E61656" w:rsidR="00B63CE1" w:rsidRDefault="00B63CE1" w:rsidP="001853BA">
      <w:r w:rsidRPr="00B63CE1">
        <w:t>Members of the JC continue to reach out to industry and officials in Asia region economies. For example</w:t>
      </w:r>
      <w:r w:rsidR="003F6287">
        <w:t>,</w:t>
      </w:r>
      <w:r w:rsidRPr="00B63CE1">
        <w:t xml:space="preserve"> at t</w:t>
      </w:r>
      <w:r w:rsidR="003F6287">
        <w:t>his year</w:t>
      </w:r>
      <w:r w:rsidR="00C109FE">
        <w:t>’</w:t>
      </w:r>
      <w:r w:rsidR="003F6287">
        <w:t>s</w:t>
      </w:r>
      <w:r w:rsidRPr="00B63CE1">
        <w:t xml:space="preserve"> A</w:t>
      </w:r>
      <w:r w:rsidR="003F6287">
        <w:t>PFF</w:t>
      </w:r>
      <w:r w:rsidR="008335F4">
        <w:t>,</w:t>
      </w:r>
      <w:r w:rsidRPr="00B63CE1">
        <w:t xml:space="preserve"> a JC representative</w:t>
      </w:r>
      <w:r w:rsidR="003F6287">
        <w:t xml:space="preserve"> presented the development of the </w:t>
      </w:r>
      <w:r w:rsidR="009F6ED4">
        <w:t>ARFP</w:t>
      </w:r>
      <w:r w:rsidR="003F6287">
        <w:t>. This</w:t>
      </w:r>
      <w:r w:rsidRPr="00B63CE1">
        <w:t xml:space="preserve"> was followed by the discussion about fund services relating to the </w:t>
      </w:r>
      <w:r w:rsidR="009F6ED4">
        <w:t>ARFP</w:t>
      </w:r>
      <w:r w:rsidRPr="00B63CE1">
        <w:t xml:space="preserve"> with participants from the financial market industry in the Asia Pacific region.</w:t>
      </w:r>
    </w:p>
    <w:p w14:paraId="77D9DDC0" w14:textId="4F1014B0" w:rsidR="00B63CE1" w:rsidRDefault="00B63CE1" w:rsidP="001853BA">
      <w:r>
        <w:br w:type="column"/>
      </w:r>
      <w:r w:rsidRPr="00B63CE1">
        <w:t xml:space="preserve"> It was pointed out that the ASEAN CIS experience indicates it is important to have standardized fund entry processes for funds between </w:t>
      </w:r>
      <w:r w:rsidR="009F6ED4">
        <w:t>ARFP</w:t>
      </w:r>
      <w:r w:rsidRPr="00B63CE1">
        <w:t xml:space="preserve"> economies, in order to ensure that benefits of streamlined regulations are felt by the market. It was suggested that the case of China</w:t>
      </w:r>
      <w:r w:rsidR="00C109FE">
        <w:noBreakHyphen/>
      </w:r>
      <w:r w:rsidRPr="00B63CE1">
        <w:t xml:space="preserve">HK MRF shows that establishing a pilot fund and checking the operation of </w:t>
      </w:r>
      <w:proofErr w:type="spellStart"/>
      <w:r w:rsidRPr="00B63CE1">
        <w:t>passporting</w:t>
      </w:r>
      <w:proofErr w:type="spellEnd"/>
      <w:r w:rsidRPr="00B63CE1">
        <w:t xml:space="preserve"> should be beneficial in promoting </w:t>
      </w:r>
      <w:r w:rsidR="0065554F">
        <w:t>the</w:t>
      </w:r>
      <w:r w:rsidRPr="00B63CE1">
        <w:t xml:space="preserve"> </w:t>
      </w:r>
      <w:r w:rsidR="009F6ED4">
        <w:t>ARFP</w:t>
      </w:r>
      <w:r w:rsidRPr="00B63CE1">
        <w:t xml:space="preserve"> scheme.</w:t>
      </w:r>
    </w:p>
    <w:p w14:paraId="51D9EBE8" w14:textId="7E3BA1C5" w:rsidR="00075FA2" w:rsidRDefault="00075FA2" w:rsidP="001853BA">
      <w:pPr>
        <w:sectPr w:rsidR="00075FA2" w:rsidSect="001853BA">
          <w:type w:val="continuous"/>
          <w:pgSz w:w="11906" w:h="16838"/>
          <w:pgMar w:top="1134" w:right="1134" w:bottom="1134" w:left="1134" w:header="708" w:footer="708" w:gutter="0"/>
          <w:cols w:num="2" w:space="284"/>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639"/>
      </w:tblGrid>
      <w:tr w:rsidR="00075FA2" w:rsidRPr="009F34FC" w14:paraId="06B57398" w14:textId="77777777" w:rsidTr="00AF6DE6">
        <w:trPr>
          <w:trHeight w:val="1020"/>
        </w:trPr>
        <w:tc>
          <w:tcPr>
            <w:tcW w:w="9639" w:type="dxa"/>
            <w:shd w:val="clear" w:color="auto" w:fill="44546A"/>
            <w:vAlign w:val="center"/>
          </w:tcPr>
          <w:p w14:paraId="303BF1BC" w14:textId="77777777" w:rsidR="00075FA2" w:rsidRPr="00075FA2" w:rsidRDefault="00075FA2" w:rsidP="00703372">
            <w:pPr>
              <w:pStyle w:val="Heading1"/>
              <w:ind w:left="227"/>
            </w:pPr>
            <w:r w:rsidRPr="00075FA2">
              <w:t>Agreed Items of Application Form Part A</w:t>
            </w:r>
          </w:p>
        </w:tc>
      </w:tr>
    </w:tbl>
    <w:p w14:paraId="7A204DD4" w14:textId="77777777" w:rsidR="001853BA" w:rsidRDefault="001853BA" w:rsidP="005C0B9B">
      <w:pPr>
        <w:spacing w:after="0"/>
      </w:pPr>
    </w:p>
    <w:p w14:paraId="4456C663" w14:textId="77777777" w:rsidR="00075FA2" w:rsidRDefault="00075FA2" w:rsidP="001853BA">
      <w:pPr>
        <w:sectPr w:rsidR="00075FA2" w:rsidSect="00075FA2">
          <w:pgSz w:w="11906" w:h="16838"/>
          <w:pgMar w:top="1134" w:right="1134" w:bottom="1134" w:left="1134" w:header="708" w:footer="708" w:gutter="0"/>
          <w:cols w:space="284"/>
          <w:docGrid w:linePitch="360"/>
        </w:sectPr>
      </w:pPr>
    </w:p>
    <w:p w14:paraId="50058DEB" w14:textId="6FF8C5E4" w:rsidR="00075FA2" w:rsidRDefault="00075FA2" w:rsidP="005C0B9B">
      <w:r w:rsidRPr="00075FA2">
        <w:t>*Please note that th</w:t>
      </w:r>
      <w:r w:rsidR="004A1C83">
        <w:t>ese are the</w:t>
      </w:r>
      <w:r w:rsidRPr="00075FA2">
        <w:t xml:space="preserve"> minimum items required to be disclosed to respective economies. Additional items can be added subject to each regulator</w:t>
      </w:r>
      <w:r w:rsidR="00C109FE">
        <w:t>’</w:t>
      </w:r>
      <w:r w:rsidRPr="00075FA2">
        <w:t>s requirements.</w:t>
      </w:r>
    </w:p>
    <w:tbl>
      <w:tblPr>
        <w:tblW w:w="9600" w:type="dxa"/>
        <w:jc w:val="center"/>
        <w:tblLayout w:type="fixed"/>
        <w:tblCellMar>
          <w:left w:w="0" w:type="dxa"/>
          <w:right w:w="0" w:type="dxa"/>
        </w:tblCellMar>
        <w:tblLook w:val="0600" w:firstRow="0" w:lastRow="0" w:firstColumn="0" w:lastColumn="0" w:noHBand="1" w:noVBand="1"/>
      </w:tblPr>
      <w:tblGrid>
        <w:gridCol w:w="7494"/>
        <w:gridCol w:w="2106"/>
      </w:tblGrid>
      <w:tr w:rsidR="00075FA2" w:rsidRPr="00075FA2" w14:paraId="4729D5A3" w14:textId="77777777" w:rsidTr="005C0B9B">
        <w:trPr>
          <w:trHeight w:val="340"/>
          <w:jc w:val="center"/>
        </w:trPr>
        <w:tc>
          <w:tcPr>
            <w:tcW w:w="7494" w:type="dxa"/>
            <w:tcBorders>
              <w:top w:val="single" w:sz="8" w:space="0" w:color="FFFFFF"/>
              <w:left w:val="single" w:sz="8" w:space="0" w:color="FFFFFF"/>
              <w:bottom w:val="single" w:sz="8" w:space="0" w:color="FFFFFF"/>
              <w:right w:val="single" w:sz="8" w:space="0" w:color="FFFFFF"/>
            </w:tcBorders>
            <w:shd w:val="clear" w:color="auto" w:fill="EAEFF7"/>
            <w:tcMar>
              <w:top w:w="6" w:type="dxa"/>
              <w:left w:w="102" w:type="dxa"/>
              <w:bottom w:w="0" w:type="dxa"/>
              <w:right w:w="6" w:type="dxa"/>
            </w:tcMar>
            <w:vAlign w:val="center"/>
            <w:hideMark/>
          </w:tcPr>
          <w:p w14:paraId="002254EE"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 xml:space="preserve">A. Fund information </w:t>
            </w:r>
          </w:p>
        </w:tc>
        <w:tc>
          <w:tcPr>
            <w:tcW w:w="2106"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14:paraId="4020D8CC"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Passport Rules Reference</w:t>
            </w:r>
          </w:p>
        </w:tc>
      </w:tr>
      <w:tr w:rsidR="00075FA2" w:rsidRPr="00075FA2" w14:paraId="783D1B9F" w14:textId="77777777" w:rsidTr="005C0B9B">
        <w:trPr>
          <w:trHeight w:val="340"/>
          <w:jc w:val="center"/>
        </w:trPr>
        <w:tc>
          <w:tcPr>
            <w:tcW w:w="7494" w:type="dxa"/>
            <w:tcBorders>
              <w:top w:val="single" w:sz="8" w:space="0" w:color="FFFFFF"/>
              <w:left w:val="single" w:sz="8" w:space="0" w:color="FFFFFF"/>
              <w:bottom w:val="single" w:sz="8" w:space="0" w:color="FFFFFF"/>
              <w:right w:val="single" w:sz="8" w:space="0" w:color="FFFFFF"/>
            </w:tcBorders>
            <w:shd w:val="clear" w:color="auto" w:fill="EAEFF7"/>
            <w:tcMar>
              <w:top w:w="6" w:type="dxa"/>
              <w:left w:w="205" w:type="dxa"/>
              <w:bottom w:w="0" w:type="dxa"/>
              <w:right w:w="6" w:type="dxa"/>
            </w:tcMar>
            <w:vAlign w:val="center"/>
            <w:hideMark/>
          </w:tcPr>
          <w:p w14:paraId="2AF5BA0A"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1. Name of the passport fund</w:t>
            </w:r>
          </w:p>
        </w:tc>
        <w:tc>
          <w:tcPr>
            <w:tcW w:w="2106"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14:paraId="2FEED3B9"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Not specified</w:t>
            </w:r>
          </w:p>
        </w:tc>
      </w:tr>
      <w:tr w:rsidR="00075FA2" w:rsidRPr="00075FA2" w14:paraId="31958B83" w14:textId="77777777" w:rsidTr="005C0B9B">
        <w:trPr>
          <w:trHeight w:val="340"/>
          <w:jc w:val="center"/>
        </w:trPr>
        <w:tc>
          <w:tcPr>
            <w:tcW w:w="7494" w:type="dxa"/>
            <w:tcBorders>
              <w:top w:val="single" w:sz="8" w:space="0" w:color="FFFFFF"/>
              <w:left w:val="single" w:sz="8" w:space="0" w:color="FFFFFF"/>
              <w:bottom w:val="single" w:sz="8" w:space="0" w:color="FFFFFF"/>
              <w:right w:val="single" w:sz="8" w:space="0" w:color="FFFFFF"/>
            </w:tcBorders>
            <w:shd w:val="clear" w:color="auto" w:fill="EAEFF7"/>
            <w:tcMar>
              <w:top w:w="6" w:type="dxa"/>
              <w:left w:w="205" w:type="dxa"/>
              <w:bottom w:w="0" w:type="dxa"/>
              <w:right w:w="6" w:type="dxa"/>
            </w:tcMar>
            <w:vAlign w:val="center"/>
            <w:hideMark/>
          </w:tcPr>
          <w:p w14:paraId="5B59A489"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 xml:space="preserve">2. Details of the passport fund (e.g. legal structure and type of the passport fund) </w:t>
            </w:r>
          </w:p>
        </w:tc>
        <w:tc>
          <w:tcPr>
            <w:tcW w:w="2106"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14:paraId="190A0CB0"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Not specified</w:t>
            </w:r>
          </w:p>
        </w:tc>
      </w:tr>
      <w:tr w:rsidR="00075FA2" w:rsidRPr="00075FA2" w14:paraId="2E4AB4B6" w14:textId="77777777" w:rsidTr="005C0B9B">
        <w:trPr>
          <w:trHeight w:val="340"/>
          <w:jc w:val="center"/>
        </w:trPr>
        <w:tc>
          <w:tcPr>
            <w:tcW w:w="7494" w:type="dxa"/>
            <w:tcBorders>
              <w:top w:val="single" w:sz="8" w:space="0" w:color="FFFFFF"/>
              <w:left w:val="single" w:sz="8" w:space="0" w:color="FFFFFF"/>
              <w:bottom w:val="single" w:sz="8" w:space="0" w:color="FFFFFF"/>
              <w:right w:val="single" w:sz="8" w:space="0" w:color="FFFFFF"/>
            </w:tcBorders>
            <w:shd w:val="clear" w:color="auto" w:fill="EAEFF7"/>
            <w:tcMar>
              <w:top w:w="6" w:type="dxa"/>
              <w:left w:w="205" w:type="dxa"/>
              <w:bottom w:w="0" w:type="dxa"/>
              <w:right w:w="6" w:type="dxa"/>
            </w:tcMar>
            <w:vAlign w:val="center"/>
            <w:hideMark/>
          </w:tcPr>
          <w:p w14:paraId="5115F6AF"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3. Permitted investments, restrictions on portfolio allocation, limits on exposures and other restrictions (supporting document may be required, if necessary)</w:t>
            </w:r>
          </w:p>
        </w:tc>
        <w:tc>
          <w:tcPr>
            <w:tcW w:w="2106"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14:paraId="52A56619"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Annex 3 Part 6 and 7</w:t>
            </w:r>
          </w:p>
        </w:tc>
      </w:tr>
      <w:tr w:rsidR="00075FA2" w:rsidRPr="00075FA2" w14:paraId="13688386" w14:textId="77777777" w:rsidTr="005C0B9B">
        <w:trPr>
          <w:trHeight w:val="340"/>
          <w:jc w:val="center"/>
        </w:trPr>
        <w:tc>
          <w:tcPr>
            <w:tcW w:w="7494" w:type="dxa"/>
            <w:tcBorders>
              <w:top w:val="single" w:sz="8" w:space="0" w:color="FFFFFF"/>
              <w:left w:val="single" w:sz="8" w:space="0" w:color="FFFFFF"/>
              <w:bottom w:val="single" w:sz="8" w:space="0" w:color="FFFFFF"/>
              <w:right w:val="single" w:sz="8" w:space="0" w:color="FFFFFF"/>
            </w:tcBorders>
            <w:shd w:val="clear" w:color="auto" w:fill="EAEFF7"/>
            <w:tcMar>
              <w:top w:w="6" w:type="dxa"/>
              <w:left w:w="205" w:type="dxa"/>
              <w:bottom w:w="0" w:type="dxa"/>
              <w:right w:w="6" w:type="dxa"/>
            </w:tcMar>
            <w:vAlign w:val="center"/>
            <w:hideMark/>
          </w:tcPr>
          <w:p w14:paraId="0303659D"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4. Offer in home economy (supporting document may be required, if necessary)</w:t>
            </w:r>
          </w:p>
        </w:tc>
        <w:tc>
          <w:tcPr>
            <w:tcW w:w="2106"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14:paraId="345DF40E"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Annex 3 Section 17</w:t>
            </w:r>
          </w:p>
        </w:tc>
      </w:tr>
      <w:tr w:rsidR="00075FA2" w:rsidRPr="00075FA2" w14:paraId="56B42E25" w14:textId="77777777" w:rsidTr="005C0B9B">
        <w:trPr>
          <w:trHeight w:val="340"/>
          <w:jc w:val="center"/>
        </w:trPr>
        <w:tc>
          <w:tcPr>
            <w:tcW w:w="7494" w:type="dxa"/>
            <w:tcBorders>
              <w:top w:val="single" w:sz="8" w:space="0" w:color="FFFFFF"/>
              <w:left w:val="single" w:sz="8" w:space="0" w:color="FFFFFF"/>
              <w:bottom w:val="single" w:sz="8" w:space="0" w:color="FFFFFF"/>
              <w:right w:val="single" w:sz="8" w:space="0" w:color="FFFFFF"/>
            </w:tcBorders>
            <w:shd w:val="clear" w:color="auto" w:fill="EAEFF7"/>
            <w:tcMar>
              <w:top w:w="6" w:type="dxa"/>
              <w:left w:w="205" w:type="dxa"/>
              <w:bottom w:w="0" w:type="dxa"/>
              <w:right w:w="6" w:type="dxa"/>
            </w:tcMar>
            <w:vAlign w:val="center"/>
            <w:hideMark/>
          </w:tcPr>
          <w:p w14:paraId="2B8A6C45"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 xml:space="preserve">5. Fees and charged to performance fee </w:t>
            </w:r>
          </w:p>
        </w:tc>
        <w:tc>
          <w:tcPr>
            <w:tcW w:w="2106"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14:paraId="78685C91"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 xml:space="preserve">Annex 3 Section 47 </w:t>
            </w:r>
          </w:p>
        </w:tc>
      </w:tr>
      <w:tr w:rsidR="00075FA2" w:rsidRPr="00075FA2" w14:paraId="1D6F29AA" w14:textId="77777777" w:rsidTr="005C0B9B">
        <w:trPr>
          <w:trHeight w:val="340"/>
          <w:jc w:val="center"/>
        </w:trPr>
        <w:tc>
          <w:tcPr>
            <w:tcW w:w="7494" w:type="dxa"/>
            <w:tcBorders>
              <w:top w:val="single" w:sz="8" w:space="0" w:color="FFFFFF"/>
              <w:left w:val="single" w:sz="8" w:space="0" w:color="FFFFFF"/>
              <w:bottom w:val="single" w:sz="8" w:space="0" w:color="FFFFFF"/>
              <w:right w:val="single" w:sz="8" w:space="0" w:color="FFFFFF"/>
            </w:tcBorders>
            <w:shd w:val="clear" w:color="auto" w:fill="EAEFF7"/>
            <w:tcMar>
              <w:top w:w="6" w:type="dxa"/>
              <w:left w:w="205" w:type="dxa"/>
              <w:bottom w:w="0" w:type="dxa"/>
              <w:right w:w="6" w:type="dxa"/>
            </w:tcMar>
            <w:vAlign w:val="center"/>
            <w:hideMark/>
          </w:tcPr>
          <w:p w14:paraId="595B2ADD"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6. Details of auditor</w:t>
            </w:r>
          </w:p>
        </w:tc>
        <w:tc>
          <w:tcPr>
            <w:tcW w:w="2106"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14:paraId="19884FEE"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Annex 3 Section 16</w:t>
            </w:r>
          </w:p>
        </w:tc>
      </w:tr>
      <w:tr w:rsidR="00075FA2" w:rsidRPr="00075FA2" w14:paraId="24C37334" w14:textId="77777777" w:rsidTr="005C0B9B">
        <w:trPr>
          <w:trHeight w:val="340"/>
          <w:jc w:val="center"/>
        </w:trPr>
        <w:tc>
          <w:tcPr>
            <w:tcW w:w="7494" w:type="dxa"/>
            <w:tcBorders>
              <w:top w:val="single" w:sz="8" w:space="0" w:color="FFFFFF"/>
              <w:left w:val="single" w:sz="8" w:space="0" w:color="FFFFFF"/>
              <w:bottom w:val="single" w:sz="8" w:space="0" w:color="FFFFFF"/>
              <w:right w:val="single" w:sz="8" w:space="0" w:color="FFFFFF"/>
            </w:tcBorders>
            <w:shd w:val="clear" w:color="auto" w:fill="EAEFF7"/>
            <w:tcMar>
              <w:top w:w="6" w:type="dxa"/>
              <w:left w:w="205" w:type="dxa"/>
              <w:bottom w:w="0" w:type="dxa"/>
              <w:right w:w="6" w:type="dxa"/>
            </w:tcMar>
            <w:vAlign w:val="center"/>
            <w:hideMark/>
          </w:tcPr>
          <w:p w14:paraId="4C9E2E2E" w14:textId="5238801A" w:rsidR="00075FA2" w:rsidRPr="00075FA2" w:rsidRDefault="00075FA2" w:rsidP="00C109FE">
            <w:r w:rsidRPr="00075FA2">
              <w:rPr>
                <w:rFonts w:asciiTheme="majorHAnsi" w:eastAsia="Cambria Math" w:hAnsiTheme="majorHAnsi" w:cs="Arial"/>
                <w:color w:val="000000" w:themeColor="dark1"/>
                <w:kern w:val="24"/>
                <w:sz w:val="18"/>
                <w:szCs w:val="18"/>
                <w:lang w:val="en-US"/>
              </w:rPr>
              <w:t>7. Information whether the constituent documents ha</w:t>
            </w:r>
            <w:r w:rsidR="009F6ED4">
              <w:rPr>
                <w:rFonts w:asciiTheme="majorHAnsi" w:eastAsia="Cambria Math" w:hAnsiTheme="majorHAnsi" w:cs="Arial"/>
                <w:color w:val="000000" w:themeColor="dark1"/>
                <w:kern w:val="24"/>
                <w:sz w:val="18"/>
                <w:szCs w:val="18"/>
                <w:lang w:val="en-US"/>
              </w:rPr>
              <w:t>ve been updated to reflect the p</w:t>
            </w:r>
            <w:r w:rsidRPr="00075FA2">
              <w:rPr>
                <w:rFonts w:asciiTheme="majorHAnsi" w:eastAsia="Cambria Math" w:hAnsiTheme="majorHAnsi" w:cs="Arial"/>
                <w:color w:val="000000" w:themeColor="dark1"/>
                <w:kern w:val="24"/>
                <w:sz w:val="18"/>
                <w:szCs w:val="18"/>
                <w:lang w:val="en-US"/>
              </w:rPr>
              <w:t>assport Rules.</w:t>
            </w:r>
          </w:p>
        </w:tc>
        <w:tc>
          <w:tcPr>
            <w:tcW w:w="2106"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14:paraId="6B5E893A"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Annex 3 Section 4</w:t>
            </w:r>
          </w:p>
        </w:tc>
      </w:tr>
      <w:tr w:rsidR="00075FA2" w:rsidRPr="00075FA2" w14:paraId="7EDE62A7" w14:textId="77777777" w:rsidTr="005C0B9B">
        <w:trPr>
          <w:trHeight w:val="340"/>
          <w:jc w:val="center"/>
        </w:trPr>
        <w:tc>
          <w:tcPr>
            <w:tcW w:w="7494" w:type="dxa"/>
            <w:tcBorders>
              <w:top w:val="single" w:sz="8" w:space="0" w:color="FFFFFF"/>
              <w:left w:val="single" w:sz="8" w:space="0" w:color="FFFFFF"/>
              <w:bottom w:val="single" w:sz="8" w:space="0" w:color="FFFFFF"/>
              <w:right w:val="single" w:sz="8" w:space="0" w:color="FFFFFF"/>
            </w:tcBorders>
            <w:shd w:val="clear" w:color="auto" w:fill="EAEFF7"/>
            <w:tcMar>
              <w:top w:w="6" w:type="dxa"/>
              <w:left w:w="102" w:type="dxa"/>
              <w:bottom w:w="0" w:type="dxa"/>
              <w:right w:w="6" w:type="dxa"/>
            </w:tcMar>
            <w:vAlign w:val="center"/>
            <w:hideMark/>
          </w:tcPr>
          <w:p w14:paraId="79275267"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B. Operator of the fund</w:t>
            </w:r>
          </w:p>
        </w:tc>
        <w:tc>
          <w:tcPr>
            <w:tcW w:w="2106"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14:paraId="74912251" w14:textId="77777777" w:rsidR="00075FA2" w:rsidRPr="00075FA2" w:rsidRDefault="00075FA2" w:rsidP="00C109FE"/>
        </w:tc>
      </w:tr>
      <w:tr w:rsidR="00075FA2" w:rsidRPr="00075FA2" w14:paraId="0556F884" w14:textId="77777777" w:rsidTr="005C0B9B">
        <w:trPr>
          <w:trHeight w:val="340"/>
          <w:jc w:val="center"/>
        </w:trPr>
        <w:tc>
          <w:tcPr>
            <w:tcW w:w="7494" w:type="dxa"/>
            <w:tcBorders>
              <w:top w:val="single" w:sz="8" w:space="0" w:color="FFFFFF"/>
              <w:left w:val="single" w:sz="8" w:space="0" w:color="FFFFFF"/>
              <w:bottom w:val="single" w:sz="8" w:space="0" w:color="FFFFFF"/>
              <w:right w:val="single" w:sz="8" w:space="0" w:color="FFFFFF"/>
            </w:tcBorders>
            <w:shd w:val="clear" w:color="auto" w:fill="EAEFF7"/>
            <w:tcMar>
              <w:top w:w="6" w:type="dxa"/>
              <w:left w:w="205" w:type="dxa"/>
              <w:bottom w:w="0" w:type="dxa"/>
              <w:right w:w="6" w:type="dxa"/>
            </w:tcMar>
            <w:vAlign w:val="center"/>
            <w:hideMark/>
          </w:tcPr>
          <w:p w14:paraId="347B89CB"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 xml:space="preserve">1. Name of licensed operator and business name </w:t>
            </w:r>
          </w:p>
        </w:tc>
        <w:tc>
          <w:tcPr>
            <w:tcW w:w="2106"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14:paraId="02620498"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Not specified</w:t>
            </w:r>
          </w:p>
        </w:tc>
      </w:tr>
      <w:tr w:rsidR="00075FA2" w:rsidRPr="00075FA2" w14:paraId="23904A02" w14:textId="77777777" w:rsidTr="005C0B9B">
        <w:trPr>
          <w:trHeight w:val="340"/>
          <w:jc w:val="center"/>
        </w:trPr>
        <w:tc>
          <w:tcPr>
            <w:tcW w:w="7494" w:type="dxa"/>
            <w:tcBorders>
              <w:top w:val="single" w:sz="8" w:space="0" w:color="FFFFFF"/>
              <w:left w:val="single" w:sz="8" w:space="0" w:color="FFFFFF"/>
              <w:bottom w:val="single" w:sz="8" w:space="0" w:color="FFFFFF"/>
              <w:right w:val="single" w:sz="8" w:space="0" w:color="FFFFFF"/>
            </w:tcBorders>
            <w:shd w:val="clear" w:color="auto" w:fill="EAEFF7"/>
            <w:tcMar>
              <w:top w:w="6" w:type="dxa"/>
              <w:left w:w="205" w:type="dxa"/>
              <w:bottom w:w="0" w:type="dxa"/>
              <w:right w:w="6" w:type="dxa"/>
            </w:tcMar>
            <w:vAlign w:val="center"/>
            <w:hideMark/>
          </w:tcPr>
          <w:p w14:paraId="74888365"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 xml:space="preserve">2. Address of registered office and principal place of business </w:t>
            </w:r>
          </w:p>
        </w:tc>
        <w:tc>
          <w:tcPr>
            <w:tcW w:w="2106"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14:paraId="3425A74F"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Annex 2 Section 3</w:t>
            </w:r>
          </w:p>
        </w:tc>
      </w:tr>
      <w:tr w:rsidR="00075FA2" w:rsidRPr="00075FA2" w14:paraId="367F85ED" w14:textId="77777777" w:rsidTr="005C0B9B">
        <w:trPr>
          <w:trHeight w:val="340"/>
          <w:jc w:val="center"/>
        </w:trPr>
        <w:tc>
          <w:tcPr>
            <w:tcW w:w="7494" w:type="dxa"/>
            <w:tcBorders>
              <w:top w:val="single" w:sz="8" w:space="0" w:color="FFFFFF"/>
              <w:left w:val="single" w:sz="8" w:space="0" w:color="FFFFFF"/>
              <w:bottom w:val="single" w:sz="8" w:space="0" w:color="FFFFFF"/>
              <w:right w:val="single" w:sz="8" w:space="0" w:color="FFFFFF"/>
            </w:tcBorders>
            <w:shd w:val="clear" w:color="auto" w:fill="EAEFF7"/>
            <w:tcMar>
              <w:top w:w="6" w:type="dxa"/>
              <w:left w:w="205" w:type="dxa"/>
              <w:bottom w:w="0" w:type="dxa"/>
              <w:right w:w="6" w:type="dxa"/>
            </w:tcMar>
            <w:vAlign w:val="center"/>
            <w:hideMark/>
          </w:tcPr>
          <w:p w14:paraId="7173ED10"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 xml:space="preserve">3. Contact details </w:t>
            </w:r>
          </w:p>
        </w:tc>
        <w:tc>
          <w:tcPr>
            <w:tcW w:w="2106"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14:paraId="075A83D0"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Not specified</w:t>
            </w:r>
          </w:p>
        </w:tc>
      </w:tr>
      <w:tr w:rsidR="00075FA2" w:rsidRPr="00075FA2" w14:paraId="7852C4C7" w14:textId="77777777" w:rsidTr="005C0B9B">
        <w:trPr>
          <w:trHeight w:val="340"/>
          <w:jc w:val="center"/>
        </w:trPr>
        <w:tc>
          <w:tcPr>
            <w:tcW w:w="7494" w:type="dxa"/>
            <w:tcBorders>
              <w:top w:val="single" w:sz="8" w:space="0" w:color="FFFFFF"/>
              <w:left w:val="single" w:sz="8" w:space="0" w:color="FFFFFF"/>
              <w:bottom w:val="single" w:sz="8" w:space="0" w:color="FFFFFF"/>
              <w:right w:val="single" w:sz="8" w:space="0" w:color="FFFFFF"/>
            </w:tcBorders>
            <w:shd w:val="clear" w:color="auto" w:fill="EAEFF7"/>
            <w:tcMar>
              <w:top w:w="6" w:type="dxa"/>
              <w:left w:w="205" w:type="dxa"/>
              <w:bottom w:w="0" w:type="dxa"/>
              <w:right w:w="6" w:type="dxa"/>
            </w:tcMar>
            <w:vAlign w:val="center"/>
            <w:hideMark/>
          </w:tcPr>
          <w:p w14:paraId="554193E3"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 xml:space="preserve">4. Eligibility of operator </w:t>
            </w:r>
          </w:p>
        </w:tc>
        <w:tc>
          <w:tcPr>
            <w:tcW w:w="2106"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14:paraId="4FD34D8C" w14:textId="77777777" w:rsidR="00075FA2" w:rsidRPr="00075FA2" w:rsidRDefault="00075FA2" w:rsidP="00C109FE"/>
        </w:tc>
      </w:tr>
      <w:tr w:rsidR="00075FA2" w:rsidRPr="00075FA2" w14:paraId="4691AFD6" w14:textId="77777777" w:rsidTr="005C0B9B">
        <w:trPr>
          <w:trHeight w:val="340"/>
          <w:jc w:val="center"/>
        </w:trPr>
        <w:tc>
          <w:tcPr>
            <w:tcW w:w="7494" w:type="dxa"/>
            <w:tcBorders>
              <w:top w:val="single" w:sz="8" w:space="0" w:color="FFFFFF"/>
              <w:left w:val="single" w:sz="8" w:space="0" w:color="FFFFFF"/>
              <w:bottom w:val="single" w:sz="8" w:space="0" w:color="FFFFFF"/>
              <w:right w:val="single" w:sz="8" w:space="0" w:color="FFFFFF"/>
            </w:tcBorders>
            <w:shd w:val="clear" w:color="auto" w:fill="EAEFF7"/>
            <w:tcMar>
              <w:top w:w="6" w:type="dxa"/>
              <w:left w:w="410" w:type="dxa"/>
              <w:bottom w:w="0" w:type="dxa"/>
              <w:right w:w="6" w:type="dxa"/>
            </w:tcMar>
            <w:vAlign w:val="center"/>
            <w:hideMark/>
          </w:tcPr>
          <w:p w14:paraId="1A540D17"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 xml:space="preserve">4.1) Total asset value under management </w:t>
            </w:r>
          </w:p>
        </w:tc>
        <w:tc>
          <w:tcPr>
            <w:tcW w:w="2106"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14:paraId="2586FC81"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Annex 2 Section 3(4), (5)</w:t>
            </w:r>
          </w:p>
        </w:tc>
      </w:tr>
      <w:tr w:rsidR="00075FA2" w:rsidRPr="00075FA2" w14:paraId="050513B8" w14:textId="77777777" w:rsidTr="005C0B9B">
        <w:trPr>
          <w:trHeight w:val="340"/>
          <w:jc w:val="center"/>
        </w:trPr>
        <w:tc>
          <w:tcPr>
            <w:tcW w:w="7494" w:type="dxa"/>
            <w:tcBorders>
              <w:top w:val="single" w:sz="8" w:space="0" w:color="FFFFFF"/>
              <w:left w:val="single" w:sz="8" w:space="0" w:color="FFFFFF"/>
              <w:bottom w:val="single" w:sz="8" w:space="0" w:color="FFFFFF"/>
              <w:right w:val="single" w:sz="8" w:space="0" w:color="FFFFFF"/>
            </w:tcBorders>
            <w:shd w:val="clear" w:color="auto" w:fill="EAEFF7"/>
            <w:tcMar>
              <w:top w:w="6" w:type="dxa"/>
              <w:left w:w="410" w:type="dxa"/>
              <w:bottom w:w="0" w:type="dxa"/>
              <w:right w:w="6" w:type="dxa"/>
            </w:tcMar>
            <w:vAlign w:val="center"/>
            <w:hideMark/>
          </w:tcPr>
          <w:p w14:paraId="5E138FD0"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 xml:space="preserve">4.2) Officer qualifications </w:t>
            </w:r>
          </w:p>
        </w:tc>
        <w:tc>
          <w:tcPr>
            <w:tcW w:w="2106"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14:paraId="2F810E0F"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Annex 3 Section 6</w:t>
            </w:r>
          </w:p>
        </w:tc>
      </w:tr>
      <w:tr w:rsidR="00075FA2" w:rsidRPr="00075FA2" w14:paraId="3083AD6E" w14:textId="77777777" w:rsidTr="005C0B9B">
        <w:trPr>
          <w:trHeight w:val="340"/>
          <w:jc w:val="center"/>
        </w:trPr>
        <w:tc>
          <w:tcPr>
            <w:tcW w:w="7494" w:type="dxa"/>
            <w:tcBorders>
              <w:top w:val="single" w:sz="8" w:space="0" w:color="FFFFFF"/>
              <w:left w:val="single" w:sz="8" w:space="0" w:color="FFFFFF"/>
              <w:bottom w:val="single" w:sz="8" w:space="0" w:color="FFFFFF"/>
              <w:right w:val="single" w:sz="8" w:space="0" w:color="FFFFFF"/>
            </w:tcBorders>
            <w:shd w:val="clear" w:color="auto" w:fill="EAEFF7"/>
            <w:tcMar>
              <w:top w:w="6" w:type="dxa"/>
              <w:left w:w="410" w:type="dxa"/>
              <w:bottom w:w="0" w:type="dxa"/>
              <w:right w:w="6" w:type="dxa"/>
            </w:tcMar>
            <w:vAlign w:val="center"/>
            <w:hideMark/>
          </w:tcPr>
          <w:p w14:paraId="2ED22B26"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 xml:space="preserve">4.3) Financial resources </w:t>
            </w:r>
          </w:p>
        </w:tc>
        <w:tc>
          <w:tcPr>
            <w:tcW w:w="2106"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14:paraId="4FCE1836"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Annex 3 Section 7</w:t>
            </w:r>
          </w:p>
        </w:tc>
      </w:tr>
      <w:tr w:rsidR="00075FA2" w:rsidRPr="00075FA2" w14:paraId="7B5E8DA1" w14:textId="77777777" w:rsidTr="005C0B9B">
        <w:trPr>
          <w:trHeight w:val="340"/>
          <w:jc w:val="center"/>
        </w:trPr>
        <w:tc>
          <w:tcPr>
            <w:tcW w:w="7494" w:type="dxa"/>
            <w:tcBorders>
              <w:top w:val="single" w:sz="8" w:space="0" w:color="FFFFFF"/>
              <w:left w:val="single" w:sz="8" w:space="0" w:color="FFFFFF"/>
              <w:bottom w:val="single" w:sz="8" w:space="0" w:color="FFFFFF"/>
              <w:right w:val="single" w:sz="8" w:space="0" w:color="FFFFFF"/>
            </w:tcBorders>
            <w:shd w:val="clear" w:color="auto" w:fill="EAEFF7"/>
            <w:tcMar>
              <w:top w:w="6" w:type="dxa"/>
              <w:left w:w="410" w:type="dxa"/>
              <w:bottom w:w="0" w:type="dxa"/>
              <w:right w:w="6" w:type="dxa"/>
            </w:tcMar>
            <w:vAlign w:val="center"/>
            <w:hideMark/>
          </w:tcPr>
          <w:p w14:paraId="46A11852"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4.4) Organizational arrangements</w:t>
            </w:r>
          </w:p>
        </w:tc>
        <w:tc>
          <w:tcPr>
            <w:tcW w:w="2106"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14:paraId="2D2EE6F2"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Annex 3 Section 8</w:t>
            </w:r>
          </w:p>
        </w:tc>
      </w:tr>
      <w:tr w:rsidR="00075FA2" w:rsidRPr="00075FA2" w14:paraId="23726CEF" w14:textId="77777777" w:rsidTr="005C0B9B">
        <w:trPr>
          <w:trHeight w:val="340"/>
          <w:jc w:val="center"/>
        </w:trPr>
        <w:tc>
          <w:tcPr>
            <w:tcW w:w="7494" w:type="dxa"/>
            <w:tcBorders>
              <w:top w:val="single" w:sz="8" w:space="0" w:color="FFFFFF"/>
              <w:left w:val="single" w:sz="8" w:space="0" w:color="FFFFFF"/>
              <w:bottom w:val="single" w:sz="8" w:space="0" w:color="FFFFFF"/>
              <w:right w:val="single" w:sz="8" w:space="0" w:color="FFFFFF"/>
            </w:tcBorders>
            <w:shd w:val="clear" w:color="auto" w:fill="EAEFF7"/>
            <w:tcMar>
              <w:top w:w="6" w:type="dxa"/>
              <w:left w:w="410" w:type="dxa"/>
              <w:bottom w:w="0" w:type="dxa"/>
              <w:right w:w="6" w:type="dxa"/>
            </w:tcMar>
            <w:vAlign w:val="center"/>
            <w:hideMark/>
          </w:tcPr>
          <w:p w14:paraId="756C50C5"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 xml:space="preserve">4.5) Track record of operator or related party </w:t>
            </w:r>
          </w:p>
        </w:tc>
        <w:tc>
          <w:tcPr>
            <w:tcW w:w="2106"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14:paraId="57639C5C"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Annex 3 Section 9</w:t>
            </w:r>
          </w:p>
        </w:tc>
      </w:tr>
      <w:tr w:rsidR="00075FA2" w:rsidRPr="00075FA2" w14:paraId="679A3047" w14:textId="77777777" w:rsidTr="005C0B9B">
        <w:trPr>
          <w:trHeight w:val="340"/>
          <w:jc w:val="center"/>
        </w:trPr>
        <w:tc>
          <w:tcPr>
            <w:tcW w:w="7494" w:type="dxa"/>
            <w:tcBorders>
              <w:top w:val="single" w:sz="8" w:space="0" w:color="FFFFFF"/>
              <w:left w:val="single" w:sz="8" w:space="0" w:color="FFFFFF"/>
              <w:bottom w:val="single" w:sz="8" w:space="0" w:color="FFFFFF"/>
              <w:right w:val="single" w:sz="8" w:space="0" w:color="FFFFFF"/>
            </w:tcBorders>
            <w:shd w:val="clear" w:color="auto" w:fill="EAEFF7"/>
            <w:tcMar>
              <w:top w:w="6" w:type="dxa"/>
              <w:left w:w="205" w:type="dxa"/>
              <w:bottom w:w="0" w:type="dxa"/>
              <w:right w:w="6" w:type="dxa"/>
            </w:tcMar>
            <w:vAlign w:val="center"/>
            <w:hideMark/>
          </w:tcPr>
          <w:p w14:paraId="77C9DBCC"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 xml:space="preserve">5. Delegation of functions by operator </w:t>
            </w:r>
          </w:p>
        </w:tc>
        <w:tc>
          <w:tcPr>
            <w:tcW w:w="2106"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14:paraId="16020C2F"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Annex 3 Section 11</w:t>
            </w:r>
          </w:p>
        </w:tc>
      </w:tr>
      <w:tr w:rsidR="00075FA2" w:rsidRPr="00075FA2" w14:paraId="7B97C327" w14:textId="77777777" w:rsidTr="005C0B9B">
        <w:trPr>
          <w:trHeight w:val="340"/>
          <w:jc w:val="center"/>
        </w:trPr>
        <w:tc>
          <w:tcPr>
            <w:tcW w:w="7494" w:type="dxa"/>
            <w:tcBorders>
              <w:top w:val="single" w:sz="8" w:space="0" w:color="FFFFFF"/>
              <w:left w:val="single" w:sz="8" w:space="0" w:color="FFFFFF"/>
              <w:bottom w:val="single" w:sz="8" w:space="0" w:color="FFFFFF"/>
              <w:right w:val="single" w:sz="8" w:space="0" w:color="FFFFFF"/>
            </w:tcBorders>
            <w:shd w:val="clear" w:color="auto" w:fill="EAEFF7"/>
            <w:tcMar>
              <w:top w:w="6" w:type="dxa"/>
              <w:left w:w="410" w:type="dxa"/>
              <w:bottom w:w="0" w:type="dxa"/>
              <w:right w:w="6" w:type="dxa"/>
            </w:tcMar>
            <w:vAlign w:val="center"/>
            <w:hideMark/>
          </w:tcPr>
          <w:p w14:paraId="213AFF64" w14:textId="67466D6E" w:rsidR="00075FA2" w:rsidRPr="00075FA2" w:rsidRDefault="00075FA2" w:rsidP="00C109FE">
            <w:r w:rsidRPr="00075FA2">
              <w:rPr>
                <w:rFonts w:asciiTheme="majorHAnsi" w:eastAsia="Cambria Math" w:hAnsiTheme="majorHAnsi" w:cs="Arial"/>
                <w:color w:val="000000" w:themeColor="dark1"/>
                <w:kern w:val="24"/>
                <w:sz w:val="18"/>
                <w:szCs w:val="18"/>
                <w:lang w:val="en-US"/>
              </w:rPr>
              <w:t>5.1) Delegation of functions or sub</w:t>
            </w:r>
            <w:r w:rsidR="00C109FE">
              <w:rPr>
                <w:rFonts w:asciiTheme="majorHAnsi" w:eastAsia="Cambria Math" w:hAnsiTheme="majorHAnsi" w:cs="Arial"/>
                <w:color w:val="000000" w:themeColor="dark1"/>
                <w:kern w:val="24"/>
                <w:sz w:val="18"/>
                <w:szCs w:val="18"/>
                <w:lang w:val="en-US"/>
              </w:rPr>
              <w:noBreakHyphen/>
            </w:r>
            <w:r w:rsidRPr="00075FA2">
              <w:rPr>
                <w:rFonts w:asciiTheme="majorHAnsi" w:eastAsia="Cambria Math" w:hAnsiTheme="majorHAnsi" w:cs="Arial"/>
                <w:color w:val="000000" w:themeColor="dark1"/>
                <w:kern w:val="24"/>
                <w:sz w:val="18"/>
                <w:szCs w:val="18"/>
                <w:lang w:val="en-US"/>
              </w:rPr>
              <w:t xml:space="preserve">delegation to other entity (if any) </w:t>
            </w:r>
          </w:p>
        </w:tc>
        <w:tc>
          <w:tcPr>
            <w:tcW w:w="2106"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14:paraId="6F6472DF" w14:textId="77777777" w:rsidR="00075FA2" w:rsidRPr="00075FA2" w:rsidRDefault="00075FA2" w:rsidP="00C109FE"/>
        </w:tc>
      </w:tr>
      <w:tr w:rsidR="00075FA2" w:rsidRPr="00075FA2" w14:paraId="1437BCAE" w14:textId="77777777" w:rsidTr="005C0B9B">
        <w:trPr>
          <w:trHeight w:val="340"/>
          <w:jc w:val="center"/>
        </w:trPr>
        <w:tc>
          <w:tcPr>
            <w:tcW w:w="7494" w:type="dxa"/>
            <w:tcBorders>
              <w:top w:val="single" w:sz="8" w:space="0" w:color="FFFFFF"/>
              <w:left w:val="single" w:sz="8" w:space="0" w:color="FFFFFF"/>
              <w:bottom w:val="single" w:sz="8" w:space="0" w:color="FFFFFF"/>
              <w:right w:val="single" w:sz="8" w:space="0" w:color="FFFFFF"/>
            </w:tcBorders>
            <w:shd w:val="clear" w:color="auto" w:fill="EAEFF7"/>
            <w:tcMar>
              <w:top w:w="6" w:type="dxa"/>
              <w:left w:w="410" w:type="dxa"/>
              <w:bottom w:w="0" w:type="dxa"/>
              <w:right w:w="6" w:type="dxa"/>
            </w:tcMar>
            <w:vAlign w:val="center"/>
            <w:hideMark/>
          </w:tcPr>
          <w:p w14:paraId="0826AFD3" w14:textId="07E68CA5" w:rsidR="00075FA2" w:rsidRPr="00075FA2" w:rsidRDefault="00075FA2" w:rsidP="00C109FE">
            <w:r w:rsidRPr="00075FA2">
              <w:rPr>
                <w:rFonts w:asciiTheme="majorHAnsi" w:eastAsia="Cambria Math" w:hAnsiTheme="majorHAnsi" w:cs="Arial"/>
                <w:color w:val="000000" w:themeColor="dark1"/>
                <w:kern w:val="24"/>
                <w:sz w:val="18"/>
                <w:szCs w:val="18"/>
                <w:lang w:val="en-US"/>
              </w:rPr>
              <w:t>5.2) Name(s) and economy(</w:t>
            </w:r>
            <w:proofErr w:type="spellStart"/>
            <w:r w:rsidRPr="00075FA2">
              <w:rPr>
                <w:rFonts w:asciiTheme="majorHAnsi" w:eastAsia="Cambria Math" w:hAnsiTheme="majorHAnsi" w:cs="Arial"/>
                <w:color w:val="000000" w:themeColor="dark1"/>
                <w:kern w:val="24"/>
                <w:sz w:val="18"/>
                <w:szCs w:val="18"/>
                <w:lang w:val="en-US"/>
              </w:rPr>
              <w:t>ies</w:t>
            </w:r>
            <w:proofErr w:type="spellEnd"/>
            <w:r w:rsidRPr="00075FA2">
              <w:rPr>
                <w:rFonts w:asciiTheme="majorHAnsi" w:eastAsia="Cambria Math" w:hAnsiTheme="majorHAnsi" w:cs="Arial"/>
                <w:color w:val="000000" w:themeColor="dark1"/>
                <w:kern w:val="24"/>
                <w:sz w:val="18"/>
                <w:szCs w:val="18"/>
                <w:lang w:val="en-US"/>
              </w:rPr>
              <w:t>) of the delegated entity(</w:t>
            </w:r>
            <w:proofErr w:type="spellStart"/>
            <w:r w:rsidRPr="00075FA2">
              <w:rPr>
                <w:rFonts w:asciiTheme="majorHAnsi" w:eastAsia="Cambria Math" w:hAnsiTheme="majorHAnsi" w:cs="Arial"/>
                <w:color w:val="000000" w:themeColor="dark1"/>
                <w:kern w:val="24"/>
                <w:sz w:val="18"/>
                <w:szCs w:val="18"/>
                <w:lang w:val="en-US"/>
              </w:rPr>
              <w:t>ies</w:t>
            </w:r>
            <w:proofErr w:type="spellEnd"/>
            <w:r w:rsidRPr="00075FA2">
              <w:rPr>
                <w:rFonts w:asciiTheme="majorHAnsi" w:eastAsia="Cambria Math" w:hAnsiTheme="majorHAnsi" w:cs="Arial"/>
                <w:color w:val="000000" w:themeColor="dark1"/>
                <w:kern w:val="24"/>
                <w:sz w:val="18"/>
                <w:szCs w:val="18"/>
                <w:lang w:val="en-US"/>
              </w:rPr>
              <w:t>) (if delegate investment management functions to other entities for more than 20% of the value of the fund</w:t>
            </w:r>
            <w:r w:rsidR="00C109FE">
              <w:rPr>
                <w:rFonts w:asciiTheme="majorHAnsi" w:eastAsia="Cambria Math" w:hAnsiTheme="majorHAnsi" w:cs="Arial"/>
                <w:color w:val="000000" w:themeColor="dark1"/>
                <w:kern w:val="24"/>
                <w:sz w:val="18"/>
                <w:szCs w:val="18"/>
                <w:lang w:val="en-US"/>
              </w:rPr>
              <w:t>’</w:t>
            </w:r>
            <w:r w:rsidRPr="00075FA2">
              <w:rPr>
                <w:rFonts w:asciiTheme="majorHAnsi" w:eastAsia="Cambria Math" w:hAnsiTheme="majorHAnsi" w:cs="Arial"/>
                <w:color w:val="000000" w:themeColor="dark1"/>
                <w:kern w:val="24"/>
                <w:sz w:val="18"/>
                <w:szCs w:val="18"/>
                <w:lang w:val="en-US"/>
              </w:rPr>
              <w:t>s asset)</w:t>
            </w:r>
          </w:p>
        </w:tc>
        <w:tc>
          <w:tcPr>
            <w:tcW w:w="2106"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14:paraId="4F33E07B" w14:textId="77777777" w:rsidR="00075FA2" w:rsidRPr="00075FA2" w:rsidRDefault="00075FA2" w:rsidP="00C109FE"/>
        </w:tc>
      </w:tr>
      <w:tr w:rsidR="00075FA2" w:rsidRPr="00075FA2" w14:paraId="5C8E7CC3" w14:textId="77777777" w:rsidTr="005C0B9B">
        <w:trPr>
          <w:trHeight w:val="340"/>
          <w:jc w:val="center"/>
        </w:trPr>
        <w:tc>
          <w:tcPr>
            <w:tcW w:w="7494" w:type="dxa"/>
            <w:tcBorders>
              <w:top w:val="single" w:sz="8" w:space="0" w:color="FFFFFF"/>
              <w:left w:val="single" w:sz="8" w:space="0" w:color="FFFFFF"/>
              <w:bottom w:val="single" w:sz="8" w:space="0" w:color="FFFFFF"/>
              <w:right w:val="single" w:sz="8" w:space="0" w:color="FFFFFF"/>
            </w:tcBorders>
            <w:shd w:val="clear" w:color="auto" w:fill="EAEFF7"/>
            <w:tcMar>
              <w:top w:w="6" w:type="dxa"/>
              <w:left w:w="102" w:type="dxa"/>
              <w:bottom w:w="0" w:type="dxa"/>
              <w:right w:w="6" w:type="dxa"/>
            </w:tcMar>
            <w:vAlign w:val="center"/>
            <w:hideMark/>
          </w:tcPr>
          <w:p w14:paraId="394E2B90"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C. Relevant party</w:t>
            </w:r>
          </w:p>
        </w:tc>
        <w:tc>
          <w:tcPr>
            <w:tcW w:w="2106"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14:paraId="06EA10AD" w14:textId="77777777" w:rsidR="00075FA2" w:rsidRPr="00075FA2" w:rsidRDefault="00075FA2" w:rsidP="00C109FE"/>
        </w:tc>
      </w:tr>
      <w:tr w:rsidR="00075FA2" w:rsidRPr="00075FA2" w14:paraId="089B46E2" w14:textId="77777777" w:rsidTr="005C0B9B">
        <w:trPr>
          <w:trHeight w:val="340"/>
          <w:jc w:val="center"/>
        </w:trPr>
        <w:tc>
          <w:tcPr>
            <w:tcW w:w="7494" w:type="dxa"/>
            <w:tcBorders>
              <w:top w:val="single" w:sz="8" w:space="0" w:color="FFFFFF"/>
              <w:left w:val="single" w:sz="8" w:space="0" w:color="FFFFFF"/>
              <w:bottom w:val="single" w:sz="8" w:space="0" w:color="FFFFFF"/>
              <w:right w:val="single" w:sz="8" w:space="0" w:color="FFFFFF"/>
            </w:tcBorders>
            <w:shd w:val="clear" w:color="auto" w:fill="EAEFF7"/>
            <w:tcMar>
              <w:top w:w="6" w:type="dxa"/>
              <w:left w:w="205" w:type="dxa"/>
              <w:bottom w:w="0" w:type="dxa"/>
              <w:right w:w="6" w:type="dxa"/>
            </w:tcMar>
            <w:vAlign w:val="center"/>
            <w:hideMark/>
          </w:tcPr>
          <w:p w14:paraId="61551C5B"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 xml:space="preserve">1. Distributor(s) </w:t>
            </w:r>
          </w:p>
        </w:tc>
        <w:tc>
          <w:tcPr>
            <w:tcW w:w="2106"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14:paraId="192DAEE5"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Annex 1 Section 2(3)</w:t>
            </w:r>
          </w:p>
        </w:tc>
      </w:tr>
      <w:tr w:rsidR="00075FA2" w:rsidRPr="00075FA2" w14:paraId="3F9309FE" w14:textId="77777777" w:rsidTr="005C0B9B">
        <w:trPr>
          <w:trHeight w:val="340"/>
          <w:jc w:val="center"/>
        </w:trPr>
        <w:tc>
          <w:tcPr>
            <w:tcW w:w="7494" w:type="dxa"/>
            <w:tcBorders>
              <w:top w:val="single" w:sz="8" w:space="0" w:color="FFFFFF"/>
              <w:left w:val="single" w:sz="8" w:space="0" w:color="FFFFFF"/>
              <w:bottom w:val="single" w:sz="8" w:space="0" w:color="FFFFFF"/>
              <w:right w:val="single" w:sz="8" w:space="0" w:color="FFFFFF"/>
            </w:tcBorders>
            <w:shd w:val="clear" w:color="auto" w:fill="EAEFF7"/>
            <w:tcMar>
              <w:top w:w="6" w:type="dxa"/>
              <w:left w:w="410" w:type="dxa"/>
              <w:bottom w:w="0" w:type="dxa"/>
              <w:right w:w="6" w:type="dxa"/>
            </w:tcMar>
            <w:vAlign w:val="center"/>
            <w:hideMark/>
          </w:tcPr>
          <w:p w14:paraId="47FB0EB6"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 xml:space="preserve">1.1) Contact information in home economy and in host economy, if possible (e.g. name of distributor, address, telephone number) </w:t>
            </w:r>
          </w:p>
        </w:tc>
        <w:tc>
          <w:tcPr>
            <w:tcW w:w="2106"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14:paraId="05704851" w14:textId="77777777" w:rsidR="00075FA2" w:rsidRPr="00075FA2" w:rsidRDefault="00075FA2" w:rsidP="00C109FE"/>
        </w:tc>
      </w:tr>
      <w:tr w:rsidR="00075FA2" w:rsidRPr="00075FA2" w14:paraId="3FB40C1F" w14:textId="77777777" w:rsidTr="005C0B9B">
        <w:trPr>
          <w:trHeight w:val="340"/>
          <w:jc w:val="center"/>
        </w:trPr>
        <w:tc>
          <w:tcPr>
            <w:tcW w:w="7494" w:type="dxa"/>
            <w:tcBorders>
              <w:top w:val="single" w:sz="8" w:space="0" w:color="FFFFFF"/>
              <w:left w:val="single" w:sz="8" w:space="0" w:color="FFFFFF"/>
              <w:bottom w:val="single" w:sz="8" w:space="0" w:color="FFFFFF"/>
              <w:right w:val="single" w:sz="8" w:space="0" w:color="FFFFFF"/>
            </w:tcBorders>
            <w:shd w:val="clear" w:color="auto" w:fill="EAEFF7"/>
            <w:tcMar>
              <w:top w:w="6" w:type="dxa"/>
              <w:left w:w="205" w:type="dxa"/>
              <w:bottom w:w="0" w:type="dxa"/>
              <w:right w:w="6" w:type="dxa"/>
            </w:tcMar>
            <w:vAlign w:val="center"/>
            <w:hideMark/>
          </w:tcPr>
          <w:p w14:paraId="06F32274"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 xml:space="preserve">2. Custody of the passport fund asset </w:t>
            </w:r>
          </w:p>
        </w:tc>
        <w:tc>
          <w:tcPr>
            <w:tcW w:w="2106"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14:paraId="387D7310"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Annex 3 Section 13</w:t>
            </w:r>
          </w:p>
        </w:tc>
      </w:tr>
      <w:tr w:rsidR="00075FA2" w:rsidRPr="00075FA2" w14:paraId="7A4BB3A9" w14:textId="77777777" w:rsidTr="005C0B9B">
        <w:trPr>
          <w:trHeight w:val="340"/>
          <w:jc w:val="center"/>
        </w:trPr>
        <w:tc>
          <w:tcPr>
            <w:tcW w:w="7494" w:type="dxa"/>
            <w:tcBorders>
              <w:top w:val="single" w:sz="8" w:space="0" w:color="FFFFFF"/>
              <w:left w:val="single" w:sz="8" w:space="0" w:color="FFFFFF"/>
              <w:bottom w:val="single" w:sz="8" w:space="0" w:color="FFFFFF"/>
              <w:right w:val="single" w:sz="8" w:space="0" w:color="FFFFFF"/>
            </w:tcBorders>
            <w:shd w:val="clear" w:color="auto" w:fill="EAEFF7"/>
            <w:tcMar>
              <w:top w:w="6" w:type="dxa"/>
              <w:left w:w="410" w:type="dxa"/>
              <w:bottom w:w="0" w:type="dxa"/>
              <w:right w:w="6" w:type="dxa"/>
            </w:tcMar>
            <w:vAlign w:val="center"/>
            <w:hideMark/>
          </w:tcPr>
          <w:p w14:paraId="7941DCE5"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2.1) Contact information (e.g. name of custodian of the fund assets, address, telephone number)</w:t>
            </w:r>
          </w:p>
        </w:tc>
        <w:tc>
          <w:tcPr>
            <w:tcW w:w="2106"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14:paraId="6EC44303" w14:textId="77777777" w:rsidR="00075FA2" w:rsidRPr="00075FA2" w:rsidRDefault="00075FA2" w:rsidP="00C109FE"/>
        </w:tc>
      </w:tr>
      <w:tr w:rsidR="00075FA2" w:rsidRPr="00075FA2" w14:paraId="39C67397" w14:textId="77777777" w:rsidTr="005C0B9B">
        <w:trPr>
          <w:trHeight w:val="340"/>
          <w:jc w:val="center"/>
        </w:trPr>
        <w:tc>
          <w:tcPr>
            <w:tcW w:w="7494" w:type="dxa"/>
            <w:tcBorders>
              <w:top w:val="single" w:sz="8" w:space="0" w:color="FFFFFF"/>
              <w:left w:val="single" w:sz="8" w:space="0" w:color="FFFFFF"/>
              <w:bottom w:val="single" w:sz="8" w:space="0" w:color="FFFFFF"/>
              <w:right w:val="single" w:sz="8" w:space="0" w:color="FFFFFF"/>
            </w:tcBorders>
            <w:shd w:val="clear" w:color="auto" w:fill="EAEFF7"/>
            <w:tcMar>
              <w:top w:w="6" w:type="dxa"/>
              <w:left w:w="205" w:type="dxa"/>
              <w:bottom w:w="0" w:type="dxa"/>
              <w:right w:w="6" w:type="dxa"/>
            </w:tcMar>
            <w:vAlign w:val="center"/>
            <w:hideMark/>
          </w:tcPr>
          <w:p w14:paraId="4538580D"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 xml:space="preserve">3. Independent Oversight Entity of the fund </w:t>
            </w:r>
          </w:p>
        </w:tc>
        <w:tc>
          <w:tcPr>
            <w:tcW w:w="2106"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14:paraId="1D96B5BA"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Annex 3 Section 14</w:t>
            </w:r>
          </w:p>
        </w:tc>
      </w:tr>
      <w:tr w:rsidR="00075FA2" w:rsidRPr="00075FA2" w14:paraId="2B1A2533" w14:textId="77777777" w:rsidTr="005C0B9B">
        <w:trPr>
          <w:trHeight w:val="340"/>
          <w:jc w:val="center"/>
        </w:trPr>
        <w:tc>
          <w:tcPr>
            <w:tcW w:w="7494" w:type="dxa"/>
            <w:tcBorders>
              <w:top w:val="single" w:sz="8" w:space="0" w:color="FFFFFF"/>
              <w:left w:val="single" w:sz="8" w:space="0" w:color="FFFFFF"/>
              <w:bottom w:val="single" w:sz="8" w:space="0" w:color="FFFFFF"/>
              <w:right w:val="single" w:sz="8" w:space="0" w:color="FFFFFF"/>
            </w:tcBorders>
            <w:shd w:val="clear" w:color="auto" w:fill="EAEFF7"/>
            <w:tcMar>
              <w:top w:w="6" w:type="dxa"/>
              <w:left w:w="410" w:type="dxa"/>
              <w:bottom w:w="0" w:type="dxa"/>
              <w:right w:w="6" w:type="dxa"/>
            </w:tcMar>
            <w:vAlign w:val="center"/>
            <w:hideMark/>
          </w:tcPr>
          <w:p w14:paraId="0D4D4B97"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3.1) Contact information (e.g. name of independent oversight entity, address, telephone number)</w:t>
            </w:r>
          </w:p>
        </w:tc>
        <w:tc>
          <w:tcPr>
            <w:tcW w:w="2106"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14:paraId="69598A43" w14:textId="77777777" w:rsidR="00075FA2" w:rsidRPr="00075FA2" w:rsidRDefault="00075FA2" w:rsidP="00C109FE"/>
        </w:tc>
      </w:tr>
      <w:tr w:rsidR="00075FA2" w:rsidRPr="00075FA2" w14:paraId="17D6FE72" w14:textId="77777777" w:rsidTr="005C0B9B">
        <w:trPr>
          <w:trHeight w:val="340"/>
          <w:jc w:val="center"/>
        </w:trPr>
        <w:tc>
          <w:tcPr>
            <w:tcW w:w="7494" w:type="dxa"/>
            <w:tcBorders>
              <w:top w:val="single" w:sz="8" w:space="0" w:color="FFFFFF"/>
              <w:left w:val="single" w:sz="8" w:space="0" w:color="FFFFFF"/>
              <w:bottom w:val="single" w:sz="8" w:space="0" w:color="FFFFFF"/>
              <w:right w:val="single" w:sz="8" w:space="0" w:color="FFFFFF"/>
            </w:tcBorders>
            <w:shd w:val="clear" w:color="auto" w:fill="EAEFF7"/>
            <w:tcMar>
              <w:top w:w="6" w:type="dxa"/>
              <w:left w:w="205" w:type="dxa"/>
              <w:bottom w:w="0" w:type="dxa"/>
              <w:right w:w="6" w:type="dxa"/>
            </w:tcMar>
            <w:vAlign w:val="center"/>
            <w:hideMark/>
          </w:tcPr>
          <w:p w14:paraId="2511EED8"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 xml:space="preserve">4. Annual Implementation Reviewer </w:t>
            </w:r>
          </w:p>
        </w:tc>
        <w:tc>
          <w:tcPr>
            <w:tcW w:w="2106"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14:paraId="3C049BBA"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Annex 3 Section 15(3), (4)</w:t>
            </w:r>
          </w:p>
        </w:tc>
      </w:tr>
      <w:tr w:rsidR="00075FA2" w:rsidRPr="00075FA2" w14:paraId="6FD7C2AE" w14:textId="77777777" w:rsidTr="005C0B9B">
        <w:trPr>
          <w:trHeight w:val="340"/>
          <w:jc w:val="center"/>
        </w:trPr>
        <w:tc>
          <w:tcPr>
            <w:tcW w:w="7494" w:type="dxa"/>
            <w:tcBorders>
              <w:top w:val="single" w:sz="8" w:space="0" w:color="FFFFFF"/>
              <w:left w:val="single" w:sz="8" w:space="0" w:color="FFFFFF"/>
              <w:bottom w:val="single" w:sz="8" w:space="0" w:color="FFFFFF"/>
              <w:right w:val="single" w:sz="8" w:space="0" w:color="FFFFFF"/>
            </w:tcBorders>
            <w:shd w:val="clear" w:color="auto" w:fill="EAEFF7"/>
            <w:tcMar>
              <w:top w:w="6" w:type="dxa"/>
              <w:left w:w="410" w:type="dxa"/>
              <w:bottom w:w="0" w:type="dxa"/>
              <w:right w:w="6" w:type="dxa"/>
            </w:tcMar>
            <w:vAlign w:val="center"/>
            <w:hideMark/>
          </w:tcPr>
          <w:p w14:paraId="2DEC2705" w14:textId="77777777" w:rsidR="00075FA2" w:rsidRPr="00075FA2" w:rsidRDefault="00075FA2" w:rsidP="00C109FE">
            <w:r w:rsidRPr="00075FA2">
              <w:rPr>
                <w:rFonts w:asciiTheme="majorHAnsi" w:eastAsia="Cambria Math" w:hAnsiTheme="majorHAnsi" w:cs="Arial"/>
                <w:color w:val="000000" w:themeColor="dark1"/>
                <w:kern w:val="24"/>
                <w:sz w:val="18"/>
                <w:szCs w:val="18"/>
                <w:lang w:val="en-US"/>
              </w:rPr>
              <w:t>4.1) Contact information (e.g. name of implementation reviewer, address, telephone number)</w:t>
            </w:r>
          </w:p>
        </w:tc>
        <w:tc>
          <w:tcPr>
            <w:tcW w:w="2106"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vAlign w:val="center"/>
            <w:hideMark/>
          </w:tcPr>
          <w:p w14:paraId="57A1A8DB" w14:textId="77777777" w:rsidR="00075FA2" w:rsidRPr="00075FA2" w:rsidRDefault="00075FA2" w:rsidP="00C109FE"/>
        </w:tc>
      </w:tr>
    </w:tbl>
    <w:p w14:paraId="43548758" w14:textId="77777777" w:rsidR="00075FA2" w:rsidRPr="00866105" w:rsidRDefault="00075FA2" w:rsidP="0093738B"/>
    <w:sectPr w:rsidR="00075FA2" w:rsidRPr="00866105" w:rsidSect="00075FA2">
      <w:type w:val="continuous"/>
      <w:pgSz w:w="11906" w:h="16838"/>
      <w:pgMar w:top="1134" w:right="1134" w:bottom="1134" w:left="1134" w:header="708" w:footer="708"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4EC4E4" w14:textId="77777777" w:rsidR="00716316" w:rsidRDefault="00716316" w:rsidP="00343B6F">
      <w:pPr>
        <w:spacing w:after="0"/>
      </w:pPr>
      <w:r>
        <w:separator/>
      </w:r>
    </w:p>
  </w:endnote>
  <w:endnote w:type="continuationSeparator" w:id="0">
    <w:p w14:paraId="2E63AFFC" w14:textId="77777777" w:rsidR="00716316" w:rsidRDefault="00716316" w:rsidP="00343B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49025" w14:textId="138AB2FB" w:rsidR="00881C52" w:rsidRPr="00343B6F" w:rsidRDefault="00881C52">
    <w:pPr>
      <w:pStyle w:val="Footer"/>
      <w:rPr>
        <w:sz w:val="20"/>
      </w:rPr>
    </w:pPr>
    <w:r w:rsidRPr="00343B6F">
      <w:rPr>
        <w:color w:val="262626" w:themeColor="text1" w:themeTint="D9"/>
        <w:sz w:val="20"/>
      </w:rPr>
      <w:fldChar w:fldCharType="begin"/>
    </w:r>
    <w:r w:rsidRPr="00343B6F">
      <w:rPr>
        <w:color w:val="262626" w:themeColor="text1" w:themeTint="D9"/>
        <w:sz w:val="20"/>
      </w:rPr>
      <w:instrText xml:space="preserve"> PAGE   \* MERGEFORMAT </w:instrText>
    </w:r>
    <w:r w:rsidRPr="00343B6F">
      <w:rPr>
        <w:color w:val="262626" w:themeColor="text1" w:themeTint="D9"/>
        <w:sz w:val="20"/>
      </w:rPr>
      <w:fldChar w:fldCharType="separate"/>
    </w:r>
    <w:r w:rsidR="00DE17D8">
      <w:rPr>
        <w:noProof/>
        <w:color w:val="262626" w:themeColor="text1" w:themeTint="D9"/>
        <w:sz w:val="20"/>
      </w:rPr>
      <w:t>1</w:t>
    </w:r>
    <w:r w:rsidRPr="00343B6F">
      <w:rPr>
        <w:noProof/>
        <w:color w:val="262626" w:themeColor="text1" w:themeTint="D9"/>
        <w:sz w:val="20"/>
      </w:rPr>
      <w:fldChar w:fldCharType="end"/>
    </w:r>
    <w:r w:rsidR="00BD24A3">
      <w:rPr>
        <w:noProof/>
        <w:color w:val="262626" w:themeColor="text1" w:themeTint="D9"/>
        <w:sz w:val="20"/>
      </w:rPr>
      <w:t xml:space="preserve"> Asia </w:t>
    </w:r>
    <w:r w:rsidRPr="00343B6F">
      <w:rPr>
        <w:noProof/>
        <w:color w:val="262626" w:themeColor="text1" w:themeTint="D9"/>
        <w:sz w:val="20"/>
      </w:rPr>
      <w:t xml:space="preserve"> </w:t>
    </w:r>
    <w:r w:rsidR="00BD24A3">
      <w:rPr>
        <w:noProof/>
        <w:color w:val="262626" w:themeColor="text1" w:themeTint="D9"/>
        <w:sz w:val="20"/>
      </w:rPr>
      <w:t xml:space="preserve">Region Funds Passport Annual Report </w:t>
    </w:r>
    <w:r w:rsidRPr="00343B6F">
      <w:rPr>
        <w:noProof/>
        <w:color w:val="0070C0"/>
        <w:sz w:val="20"/>
      </w:rPr>
      <w:t>2016</w:t>
    </w:r>
    <w:r w:rsidR="00C109FE">
      <w:rPr>
        <w:noProof/>
        <w:color w:val="0070C0"/>
        <w:sz w:val="20"/>
      </w:rPr>
      <w:noBreakHyphen/>
    </w:r>
    <w:r w:rsidRPr="00343B6F">
      <w:rPr>
        <w:noProof/>
        <w:color w:val="0070C0"/>
        <w:sz w:val="20"/>
      </w:rPr>
      <w:t>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29389A" w14:textId="77777777" w:rsidR="00716316" w:rsidRDefault="00716316" w:rsidP="00343B6F">
      <w:pPr>
        <w:spacing w:after="0"/>
      </w:pPr>
      <w:r>
        <w:separator/>
      </w:r>
    </w:p>
  </w:footnote>
  <w:footnote w:type="continuationSeparator" w:id="0">
    <w:p w14:paraId="08EAD1EF" w14:textId="77777777" w:rsidR="00716316" w:rsidRDefault="00716316" w:rsidP="00343B6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70347"/>
    <w:multiLevelType w:val="hybridMultilevel"/>
    <w:tmpl w:val="582C13B8"/>
    <w:lvl w:ilvl="0" w:tplc="6B1224F0">
      <w:start w:val="1"/>
      <w:numFmt w:val="lowerRoman"/>
      <w:lvlText w:val="%1."/>
      <w:lvlJc w:val="left"/>
      <w:pPr>
        <w:ind w:left="890" w:hanging="72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1">
    <w:nsid w:val="13C06487"/>
    <w:multiLevelType w:val="hybridMultilevel"/>
    <w:tmpl w:val="D006F7A6"/>
    <w:lvl w:ilvl="0" w:tplc="0C09001B">
      <w:start w:val="1"/>
      <w:numFmt w:val="lowerRoman"/>
      <w:lvlText w:val="%1."/>
      <w:lvlJc w:val="right"/>
      <w:pPr>
        <w:ind w:left="890"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0C09000F" w:tentative="1">
      <w:start w:val="1"/>
      <w:numFmt w:val="decimal"/>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2">
    <w:nsid w:val="36103E40"/>
    <w:multiLevelType w:val="hybridMultilevel"/>
    <w:tmpl w:val="38324D1A"/>
    <w:lvl w:ilvl="0" w:tplc="7166D9B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488F688C"/>
    <w:multiLevelType w:val="multilevel"/>
    <w:tmpl w:val="2E420990"/>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619A29B8"/>
    <w:multiLevelType w:val="hybridMultilevel"/>
    <w:tmpl w:val="480085B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4FC"/>
    <w:rsid w:val="000421F9"/>
    <w:rsid w:val="000601FC"/>
    <w:rsid w:val="00075FA2"/>
    <w:rsid w:val="00077ECA"/>
    <w:rsid w:val="00096B74"/>
    <w:rsid w:val="000B39E0"/>
    <w:rsid w:val="00133F24"/>
    <w:rsid w:val="001853BA"/>
    <w:rsid w:val="001C5E5A"/>
    <w:rsid w:val="00343B6F"/>
    <w:rsid w:val="003F6287"/>
    <w:rsid w:val="004A1C83"/>
    <w:rsid w:val="005C0B9B"/>
    <w:rsid w:val="005D599D"/>
    <w:rsid w:val="006469E9"/>
    <w:rsid w:val="0065554F"/>
    <w:rsid w:val="006C692C"/>
    <w:rsid w:val="00703372"/>
    <w:rsid w:val="00716316"/>
    <w:rsid w:val="0073129B"/>
    <w:rsid w:val="00764C6A"/>
    <w:rsid w:val="0077467F"/>
    <w:rsid w:val="00776F64"/>
    <w:rsid w:val="00797FC8"/>
    <w:rsid w:val="007A6ED9"/>
    <w:rsid w:val="008335F4"/>
    <w:rsid w:val="00866105"/>
    <w:rsid w:val="00881C52"/>
    <w:rsid w:val="00914079"/>
    <w:rsid w:val="00924853"/>
    <w:rsid w:val="0093738B"/>
    <w:rsid w:val="009B085F"/>
    <w:rsid w:val="009D49B7"/>
    <w:rsid w:val="009F34FC"/>
    <w:rsid w:val="009F6ED4"/>
    <w:rsid w:val="00AF6DE6"/>
    <w:rsid w:val="00B63CE1"/>
    <w:rsid w:val="00BD24A3"/>
    <w:rsid w:val="00C109FE"/>
    <w:rsid w:val="00C90E06"/>
    <w:rsid w:val="00C94B03"/>
    <w:rsid w:val="00D2150F"/>
    <w:rsid w:val="00D72376"/>
    <w:rsid w:val="00DE17D8"/>
    <w:rsid w:val="00E01871"/>
    <w:rsid w:val="00F330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DA4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105"/>
    <w:pPr>
      <w:spacing w:after="120"/>
    </w:pPr>
    <w:rPr>
      <w:rFonts w:ascii="Cambria" w:hAnsi="Cambria"/>
      <w:sz w:val="22"/>
    </w:rPr>
  </w:style>
  <w:style w:type="paragraph" w:styleId="Heading1">
    <w:name w:val="heading 1"/>
    <w:basedOn w:val="Normal"/>
    <w:next w:val="Normal"/>
    <w:link w:val="Heading1Char"/>
    <w:uiPriority w:val="9"/>
    <w:qFormat/>
    <w:rsid w:val="00E01871"/>
    <w:pPr>
      <w:keepNext/>
      <w:keepLines/>
      <w:spacing w:after="0"/>
      <w:outlineLvl w:val="0"/>
    </w:pPr>
    <w:rPr>
      <w:rFonts w:asciiTheme="majorHAnsi" w:eastAsiaTheme="majorEastAsia" w:hAnsiTheme="majorHAnsi" w:cstheme="majorBidi"/>
      <w:bCs/>
      <w:color w:val="FFFFFF" w:themeColor="background1"/>
      <w:sz w:val="40"/>
      <w:szCs w:val="28"/>
    </w:rPr>
  </w:style>
  <w:style w:type="paragraph" w:styleId="Heading2">
    <w:name w:val="heading 2"/>
    <w:basedOn w:val="Normal"/>
    <w:next w:val="Normal"/>
    <w:link w:val="Heading2Char"/>
    <w:uiPriority w:val="9"/>
    <w:unhideWhenUsed/>
    <w:qFormat/>
    <w:rsid w:val="00AF6DE6"/>
    <w:pPr>
      <w:keepNext/>
      <w:keepLines/>
      <w:spacing w:before="200"/>
      <w:outlineLvl w:val="1"/>
    </w:pPr>
    <w:rPr>
      <w:rFonts w:asciiTheme="majorHAnsi" w:eastAsiaTheme="majorEastAsia" w:hAnsiTheme="majorHAnsi" w:cstheme="majorBidi"/>
      <w:b/>
      <w:bCs/>
      <w:color w:val="44546A"/>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F34FC"/>
    <w:pPr>
      <w:spacing w:before="100" w:beforeAutospacing="1" w:after="100" w:afterAutospacing="1"/>
    </w:pPr>
    <w:rPr>
      <w:rFonts w:ascii="Times New Roman" w:eastAsiaTheme="minorEastAsia" w:hAnsi="Times New Roman"/>
      <w:sz w:val="24"/>
      <w:szCs w:val="24"/>
      <w:lang w:eastAsia="en-AU"/>
    </w:rPr>
  </w:style>
  <w:style w:type="paragraph" w:styleId="BalloonText">
    <w:name w:val="Balloon Text"/>
    <w:basedOn w:val="Normal"/>
    <w:link w:val="BalloonTextChar"/>
    <w:uiPriority w:val="99"/>
    <w:semiHidden/>
    <w:unhideWhenUsed/>
    <w:rsid w:val="009F34FC"/>
    <w:rPr>
      <w:rFonts w:ascii="Tahoma" w:hAnsi="Tahoma" w:cs="Tahoma"/>
      <w:sz w:val="16"/>
      <w:szCs w:val="16"/>
    </w:rPr>
  </w:style>
  <w:style w:type="character" w:customStyle="1" w:styleId="BalloonTextChar">
    <w:name w:val="Balloon Text Char"/>
    <w:basedOn w:val="DefaultParagraphFont"/>
    <w:link w:val="BalloonText"/>
    <w:uiPriority w:val="99"/>
    <w:semiHidden/>
    <w:rsid w:val="009F34FC"/>
    <w:rPr>
      <w:rFonts w:ascii="Tahoma" w:hAnsi="Tahoma" w:cs="Tahoma"/>
      <w:sz w:val="16"/>
      <w:szCs w:val="16"/>
    </w:rPr>
  </w:style>
  <w:style w:type="table" w:styleId="TableGrid">
    <w:name w:val="Table Grid"/>
    <w:basedOn w:val="TableNormal"/>
    <w:uiPriority w:val="59"/>
    <w:rsid w:val="009F34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F6DE6"/>
    <w:rPr>
      <w:rFonts w:asciiTheme="majorHAnsi" w:eastAsiaTheme="majorEastAsia" w:hAnsiTheme="majorHAnsi" w:cstheme="majorBidi"/>
      <w:b/>
      <w:bCs/>
      <w:color w:val="44546A"/>
      <w:sz w:val="26"/>
      <w:szCs w:val="26"/>
    </w:rPr>
  </w:style>
  <w:style w:type="paragraph" w:styleId="ListParagraph">
    <w:name w:val="List Paragraph"/>
    <w:basedOn w:val="Normal"/>
    <w:uiPriority w:val="34"/>
    <w:qFormat/>
    <w:rsid w:val="00133F24"/>
    <w:pPr>
      <w:ind w:left="720"/>
      <w:contextualSpacing/>
    </w:pPr>
  </w:style>
  <w:style w:type="paragraph" w:customStyle="1" w:styleId="Bullet">
    <w:name w:val="Bullet"/>
    <w:basedOn w:val="Normal"/>
    <w:link w:val="BulletChar"/>
    <w:rsid w:val="00866105"/>
    <w:pPr>
      <w:numPr>
        <w:numId w:val="5"/>
      </w:numPr>
    </w:pPr>
  </w:style>
  <w:style w:type="character" w:customStyle="1" w:styleId="BulletChar">
    <w:name w:val="Bullet Char"/>
    <w:basedOn w:val="DefaultParagraphFont"/>
    <w:link w:val="Bullet"/>
    <w:rsid w:val="00866105"/>
    <w:rPr>
      <w:rFonts w:ascii="Cambria" w:hAnsi="Cambria"/>
      <w:sz w:val="22"/>
    </w:rPr>
  </w:style>
  <w:style w:type="paragraph" w:customStyle="1" w:styleId="Dash">
    <w:name w:val="Dash"/>
    <w:basedOn w:val="Normal"/>
    <w:link w:val="DashChar"/>
    <w:rsid w:val="00866105"/>
    <w:pPr>
      <w:numPr>
        <w:ilvl w:val="1"/>
        <w:numId w:val="5"/>
      </w:numPr>
    </w:pPr>
  </w:style>
  <w:style w:type="character" w:customStyle="1" w:styleId="DashChar">
    <w:name w:val="Dash Char"/>
    <w:basedOn w:val="DefaultParagraphFont"/>
    <w:link w:val="Dash"/>
    <w:rsid w:val="00866105"/>
    <w:rPr>
      <w:rFonts w:ascii="Cambria" w:hAnsi="Cambria"/>
      <w:sz w:val="22"/>
    </w:rPr>
  </w:style>
  <w:style w:type="paragraph" w:customStyle="1" w:styleId="DoubleDot">
    <w:name w:val="Double Dot"/>
    <w:basedOn w:val="Normal"/>
    <w:link w:val="DoubleDotChar"/>
    <w:rsid w:val="00866105"/>
    <w:pPr>
      <w:numPr>
        <w:ilvl w:val="2"/>
        <w:numId w:val="5"/>
      </w:numPr>
    </w:pPr>
  </w:style>
  <w:style w:type="character" w:customStyle="1" w:styleId="DoubleDotChar">
    <w:name w:val="Double Dot Char"/>
    <w:basedOn w:val="DefaultParagraphFont"/>
    <w:link w:val="DoubleDot"/>
    <w:rsid w:val="00866105"/>
    <w:rPr>
      <w:rFonts w:ascii="Cambria" w:hAnsi="Cambria"/>
      <w:sz w:val="22"/>
    </w:rPr>
  </w:style>
  <w:style w:type="character" w:customStyle="1" w:styleId="Heading1Char">
    <w:name w:val="Heading 1 Char"/>
    <w:basedOn w:val="DefaultParagraphFont"/>
    <w:link w:val="Heading1"/>
    <w:uiPriority w:val="9"/>
    <w:rsid w:val="00E01871"/>
    <w:rPr>
      <w:rFonts w:asciiTheme="majorHAnsi" w:eastAsiaTheme="majorEastAsia" w:hAnsiTheme="majorHAnsi" w:cstheme="majorBidi"/>
      <w:bCs/>
      <w:color w:val="FFFFFF" w:themeColor="background1"/>
      <w:sz w:val="40"/>
      <w:szCs w:val="28"/>
    </w:rPr>
  </w:style>
  <w:style w:type="paragraph" w:styleId="Header">
    <w:name w:val="header"/>
    <w:basedOn w:val="Normal"/>
    <w:link w:val="HeaderChar"/>
    <w:uiPriority w:val="99"/>
    <w:unhideWhenUsed/>
    <w:rsid w:val="00343B6F"/>
    <w:pPr>
      <w:tabs>
        <w:tab w:val="center" w:pos="4513"/>
        <w:tab w:val="right" w:pos="9026"/>
      </w:tabs>
      <w:spacing w:after="0"/>
    </w:pPr>
  </w:style>
  <w:style w:type="character" w:customStyle="1" w:styleId="HeaderChar">
    <w:name w:val="Header Char"/>
    <w:basedOn w:val="DefaultParagraphFont"/>
    <w:link w:val="Header"/>
    <w:uiPriority w:val="99"/>
    <w:rsid w:val="00343B6F"/>
    <w:rPr>
      <w:rFonts w:ascii="Cambria" w:hAnsi="Cambria"/>
      <w:sz w:val="22"/>
    </w:rPr>
  </w:style>
  <w:style w:type="paragraph" w:styleId="Footer">
    <w:name w:val="footer"/>
    <w:basedOn w:val="Normal"/>
    <w:link w:val="FooterChar"/>
    <w:uiPriority w:val="99"/>
    <w:unhideWhenUsed/>
    <w:rsid w:val="00343B6F"/>
    <w:pPr>
      <w:tabs>
        <w:tab w:val="center" w:pos="4513"/>
        <w:tab w:val="right" w:pos="9026"/>
      </w:tabs>
      <w:spacing w:after="0"/>
    </w:pPr>
  </w:style>
  <w:style w:type="character" w:customStyle="1" w:styleId="FooterChar">
    <w:name w:val="Footer Char"/>
    <w:basedOn w:val="DefaultParagraphFont"/>
    <w:link w:val="Footer"/>
    <w:uiPriority w:val="99"/>
    <w:rsid w:val="00343B6F"/>
    <w:rPr>
      <w:rFonts w:ascii="Cambria" w:hAnsi="Cambria"/>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105"/>
    <w:pPr>
      <w:spacing w:after="120"/>
    </w:pPr>
    <w:rPr>
      <w:rFonts w:ascii="Cambria" w:hAnsi="Cambria"/>
      <w:sz w:val="22"/>
    </w:rPr>
  </w:style>
  <w:style w:type="paragraph" w:styleId="Heading1">
    <w:name w:val="heading 1"/>
    <w:basedOn w:val="Normal"/>
    <w:next w:val="Normal"/>
    <w:link w:val="Heading1Char"/>
    <w:uiPriority w:val="9"/>
    <w:qFormat/>
    <w:rsid w:val="00E01871"/>
    <w:pPr>
      <w:keepNext/>
      <w:keepLines/>
      <w:spacing w:after="0"/>
      <w:outlineLvl w:val="0"/>
    </w:pPr>
    <w:rPr>
      <w:rFonts w:asciiTheme="majorHAnsi" w:eastAsiaTheme="majorEastAsia" w:hAnsiTheme="majorHAnsi" w:cstheme="majorBidi"/>
      <w:bCs/>
      <w:color w:val="FFFFFF" w:themeColor="background1"/>
      <w:sz w:val="40"/>
      <w:szCs w:val="28"/>
    </w:rPr>
  </w:style>
  <w:style w:type="paragraph" w:styleId="Heading2">
    <w:name w:val="heading 2"/>
    <w:basedOn w:val="Normal"/>
    <w:next w:val="Normal"/>
    <w:link w:val="Heading2Char"/>
    <w:uiPriority w:val="9"/>
    <w:unhideWhenUsed/>
    <w:qFormat/>
    <w:rsid w:val="00AF6DE6"/>
    <w:pPr>
      <w:keepNext/>
      <w:keepLines/>
      <w:spacing w:before="200"/>
      <w:outlineLvl w:val="1"/>
    </w:pPr>
    <w:rPr>
      <w:rFonts w:asciiTheme="majorHAnsi" w:eastAsiaTheme="majorEastAsia" w:hAnsiTheme="majorHAnsi" w:cstheme="majorBidi"/>
      <w:b/>
      <w:bCs/>
      <w:color w:val="44546A"/>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F34FC"/>
    <w:pPr>
      <w:spacing w:before="100" w:beforeAutospacing="1" w:after="100" w:afterAutospacing="1"/>
    </w:pPr>
    <w:rPr>
      <w:rFonts w:ascii="Times New Roman" w:eastAsiaTheme="minorEastAsia" w:hAnsi="Times New Roman"/>
      <w:sz w:val="24"/>
      <w:szCs w:val="24"/>
      <w:lang w:eastAsia="en-AU"/>
    </w:rPr>
  </w:style>
  <w:style w:type="paragraph" w:styleId="BalloonText">
    <w:name w:val="Balloon Text"/>
    <w:basedOn w:val="Normal"/>
    <w:link w:val="BalloonTextChar"/>
    <w:uiPriority w:val="99"/>
    <w:semiHidden/>
    <w:unhideWhenUsed/>
    <w:rsid w:val="009F34FC"/>
    <w:rPr>
      <w:rFonts w:ascii="Tahoma" w:hAnsi="Tahoma" w:cs="Tahoma"/>
      <w:sz w:val="16"/>
      <w:szCs w:val="16"/>
    </w:rPr>
  </w:style>
  <w:style w:type="character" w:customStyle="1" w:styleId="BalloonTextChar">
    <w:name w:val="Balloon Text Char"/>
    <w:basedOn w:val="DefaultParagraphFont"/>
    <w:link w:val="BalloonText"/>
    <w:uiPriority w:val="99"/>
    <w:semiHidden/>
    <w:rsid w:val="009F34FC"/>
    <w:rPr>
      <w:rFonts w:ascii="Tahoma" w:hAnsi="Tahoma" w:cs="Tahoma"/>
      <w:sz w:val="16"/>
      <w:szCs w:val="16"/>
    </w:rPr>
  </w:style>
  <w:style w:type="table" w:styleId="TableGrid">
    <w:name w:val="Table Grid"/>
    <w:basedOn w:val="TableNormal"/>
    <w:uiPriority w:val="59"/>
    <w:rsid w:val="009F34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F6DE6"/>
    <w:rPr>
      <w:rFonts w:asciiTheme="majorHAnsi" w:eastAsiaTheme="majorEastAsia" w:hAnsiTheme="majorHAnsi" w:cstheme="majorBidi"/>
      <w:b/>
      <w:bCs/>
      <w:color w:val="44546A"/>
      <w:sz w:val="26"/>
      <w:szCs w:val="26"/>
    </w:rPr>
  </w:style>
  <w:style w:type="paragraph" w:styleId="ListParagraph">
    <w:name w:val="List Paragraph"/>
    <w:basedOn w:val="Normal"/>
    <w:uiPriority w:val="34"/>
    <w:qFormat/>
    <w:rsid w:val="00133F24"/>
    <w:pPr>
      <w:ind w:left="720"/>
      <w:contextualSpacing/>
    </w:pPr>
  </w:style>
  <w:style w:type="paragraph" w:customStyle="1" w:styleId="Bullet">
    <w:name w:val="Bullet"/>
    <w:basedOn w:val="Normal"/>
    <w:link w:val="BulletChar"/>
    <w:rsid w:val="00866105"/>
    <w:pPr>
      <w:numPr>
        <w:numId w:val="5"/>
      </w:numPr>
    </w:pPr>
  </w:style>
  <w:style w:type="character" w:customStyle="1" w:styleId="BulletChar">
    <w:name w:val="Bullet Char"/>
    <w:basedOn w:val="DefaultParagraphFont"/>
    <w:link w:val="Bullet"/>
    <w:rsid w:val="00866105"/>
    <w:rPr>
      <w:rFonts w:ascii="Cambria" w:hAnsi="Cambria"/>
      <w:sz w:val="22"/>
    </w:rPr>
  </w:style>
  <w:style w:type="paragraph" w:customStyle="1" w:styleId="Dash">
    <w:name w:val="Dash"/>
    <w:basedOn w:val="Normal"/>
    <w:link w:val="DashChar"/>
    <w:rsid w:val="00866105"/>
    <w:pPr>
      <w:numPr>
        <w:ilvl w:val="1"/>
        <w:numId w:val="5"/>
      </w:numPr>
    </w:pPr>
  </w:style>
  <w:style w:type="character" w:customStyle="1" w:styleId="DashChar">
    <w:name w:val="Dash Char"/>
    <w:basedOn w:val="DefaultParagraphFont"/>
    <w:link w:val="Dash"/>
    <w:rsid w:val="00866105"/>
    <w:rPr>
      <w:rFonts w:ascii="Cambria" w:hAnsi="Cambria"/>
      <w:sz w:val="22"/>
    </w:rPr>
  </w:style>
  <w:style w:type="paragraph" w:customStyle="1" w:styleId="DoubleDot">
    <w:name w:val="Double Dot"/>
    <w:basedOn w:val="Normal"/>
    <w:link w:val="DoubleDotChar"/>
    <w:rsid w:val="00866105"/>
    <w:pPr>
      <w:numPr>
        <w:ilvl w:val="2"/>
        <w:numId w:val="5"/>
      </w:numPr>
    </w:pPr>
  </w:style>
  <w:style w:type="character" w:customStyle="1" w:styleId="DoubleDotChar">
    <w:name w:val="Double Dot Char"/>
    <w:basedOn w:val="DefaultParagraphFont"/>
    <w:link w:val="DoubleDot"/>
    <w:rsid w:val="00866105"/>
    <w:rPr>
      <w:rFonts w:ascii="Cambria" w:hAnsi="Cambria"/>
      <w:sz w:val="22"/>
    </w:rPr>
  </w:style>
  <w:style w:type="character" w:customStyle="1" w:styleId="Heading1Char">
    <w:name w:val="Heading 1 Char"/>
    <w:basedOn w:val="DefaultParagraphFont"/>
    <w:link w:val="Heading1"/>
    <w:uiPriority w:val="9"/>
    <w:rsid w:val="00E01871"/>
    <w:rPr>
      <w:rFonts w:asciiTheme="majorHAnsi" w:eastAsiaTheme="majorEastAsia" w:hAnsiTheme="majorHAnsi" w:cstheme="majorBidi"/>
      <w:bCs/>
      <w:color w:val="FFFFFF" w:themeColor="background1"/>
      <w:sz w:val="40"/>
      <w:szCs w:val="28"/>
    </w:rPr>
  </w:style>
  <w:style w:type="paragraph" w:styleId="Header">
    <w:name w:val="header"/>
    <w:basedOn w:val="Normal"/>
    <w:link w:val="HeaderChar"/>
    <w:uiPriority w:val="99"/>
    <w:unhideWhenUsed/>
    <w:rsid w:val="00343B6F"/>
    <w:pPr>
      <w:tabs>
        <w:tab w:val="center" w:pos="4513"/>
        <w:tab w:val="right" w:pos="9026"/>
      </w:tabs>
      <w:spacing w:after="0"/>
    </w:pPr>
  </w:style>
  <w:style w:type="character" w:customStyle="1" w:styleId="HeaderChar">
    <w:name w:val="Header Char"/>
    <w:basedOn w:val="DefaultParagraphFont"/>
    <w:link w:val="Header"/>
    <w:uiPriority w:val="99"/>
    <w:rsid w:val="00343B6F"/>
    <w:rPr>
      <w:rFonts w:ascii="Cambria" w:hAnsi="Cambria"/>
      <w:sz w:val="22"/>
    </w:rPr>
  </w:style>
  <w:style w:type="paragraph" w:styleId="Footer">
    <w:name w:val="footer"/>
    <w:basedOn w:val="Normal"/>
    <w:link w:val="FooterChar"/>
    <w:uiPriority w:val="99"/>
    <w:unhideWhenUsed/>
    <w:rsid w:val="00343B6F"/>
    <w:pPr>
      <w:tabs>
        <w:tab w:val="center" w:pos="4513"/>
        <w:tab w:val="right" w:pos="9026"/>
      </w:tabs>
      <w:spacing w:after="0"/>
    </w:pPr>
  </w:style>
  <w:style w:type="character" w:customStyle="1" w:styleId="FooterChar">
    <w:name w:val="Footer Char"/>
    <w:basedOn w:val="DefaultParagraphFont"/>
    <w:link w:val="Footer"/>
    <w:uiPriority w:val="99"/>
    <w:rsid w:val="00343B6F"/>
    <w:rPr>
      <w:rFonts w:ascii="Cambria" w:hAnsi="Cambri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451473">
      <w:bodyDiv w:val="1"/>
      <w:marLeft w:val="0"/>
      <w:marRight w:val="0"/>
      <w:marTop w:val="0"/>
      <w:marBottom w:val="0"/>
      <w:divBdr>
        <w:top w:val="none" w:sz="0" w:space="0" w:color="auto"/>
        <w:left w:val="none" w:sz="0" w:space="0" w:color="auto"/>
        <w:bottom w:val="none" w:sz="0" w:space="0" w:color="auto"/>
        <w:right w:val="none" w:sz="0" w:space="0" w:color="auto"/>
      </w:divBdr>
    </w:div>
    <w:div w:id="1708483920">
      <w:bodyDiv w:val="1"/>
      <w:marLeft w:val="0"/>
      <w:marRight w:val="0"/>
      <w:marTop w:val="0"/>
      <w:marBottom w:val="0"/>
      <w:divBdr>
        <w:top w:val="none" w:sz="0" w:space="0" w:color="auto"/>
        <w:left w:val="none" w:sz="0" w:space="0" w:color="auto"/>
        <w:bottom w:val="none" w:sz="0" w:space="0" w:color="auto"/>
        <w:right w:val="none" w:sz="0" w:space="0" w:color="auto"/>
      </w:divBdr>
    </w:div>
    <w:div w:id="1729764214">
      <w:bodyDiv w:val="1"/>
      <w:marLeft w:val="0"/>
      <w:marRight w:val="0"/>
      <w:marTop w:val="0"/>
      <w:marBottom w:val="0"/>
      <w:divBdr>
        <w:top w:val="none" w:sz="0" w:space="0" w:color="auto"/>
        <w:left w:val="none" w:sz="0" w:space="0" w:color="auto"/>
        <w:bottom w:val="none" w:sz="0" w:space="0" w:color="auto"/>
        <w:right w:val="none" w:sz="0" w:space="0" w:color="auto"/>
      </w:divBdr>
    </w:div>
    <w:div w:id="1760325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5.jpe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78A86F7C6E73834FB83FA460D8519B96" ma:contentTypeVersion="4195" ma:contentTypeDescription="" ma:contentTypeScope="" ma:versionID="6a7cd4f765ccdcfa6a2fea5cef6af688">
  <xsd:schema xmlns:xsd="http://www.w3.org/2001/XMLSchema" xmlns:xs="http://www.w3.org/2001/XMLSchema" xmlns:p="http://schemas.microsoft.com/office/2006/metadata/properties" xmlns:ns1="http://schemas.microsoft.com/sharepoint/v3" xmlns:ns2="d4dd4adf-ddb3-46a3-8d7c-fab3fb2a6bc7" xmlns:ns4="http://schemas.microsoft.com/sharepoint/v4" targetNamespace="http://schemas.microsoft.com/office/2006/metadata/properties" ma:root="true" ma:fieldsID="6eb2443d1a16d80b972c9b4f1ca1fbd3" ns1:_="" ns2:_="" ns4:_="">
    <xsd:import namespace="http://schemas.microsoft.com/sharepoint/v3"/>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lb508a4dc5e84436a0fe496b536466aa" minOccurs="0"/>
                <xsd:element ref="ns2:TaxCatchAll" minOccurs="0"/>
                <xsd:element ref="ns2:TaxCatchAllLabel" minOccurs="0"/>
                <xsd:element ref="ns4:IconOverlay"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1" nillable="true" ma:taxonomy="true" ma:internalName="lb508a4dc5e84436a0fe496b536466aa" ma:taxonomyFieldName="TSYRecordClass" ma:displayName="Record Class" ma:readOnly="false" ma:default="2;#TSY RA-9081 - Retain as national archives|bbf0bcde-1687-4ff2-bc57-f31b5d545d4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RA-9081 - Retain as national archives</TermName>
          <TermId xmlns="http://schemas.microsoft.com/office/infopath/2007/PartnerControls">bbf0bcde-1687-4ff2-bc57-f31b5d545d4b</TermId>
        </TermInfo>
      </Terms>
    </lb508a4dc5e84436a0fe496b536466aa>
    <TaxCatchAll xmlns="d4dd4adf-ddb3-46a3-8d7c-fab3fb2a6bc7">
      <Value>2</Value>
    </TaxCatchAll>
    <_dlc_DocId xmlns="d4dd4adf-ddb3-46a3-8d7c-fab3fb2a6bc7">2017MG-158-6352</_dlc_DocId>
    <_dlc_DocIdUrl xmlns="d4dd4adf-ddb3-46a3-8d7c-fab3fb2a6bc7">
      <Url>http://tweb/sites/mg/fsd/_layouts/15/DocIdRedir.aspx?ID=2017MG-158-6352</Url>
      <Description>2017MG-158-6352</Description>
    </_dlc_DocIdUrl>
  </documentManagement>
</p:properties>
</file>

<file path=customXml/item4.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52A99-88B8-4454-BF2E-CD376AFA76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27EACF-7368-4202-900D-B7E70D7B061B}">
  <ds:schemaRefs>
    <ds:schemaRef ds:uri="http://schemas.microsoft.com/sharepoint/v3/contenttype/forms"/>
  </ds:schemaRefs>
</ds:datastoreItem>
</file>

<file path=customXml/itemProps3.xml><?xml version="1.0" encoding="utf-8"?>
<ds:datastoreItem xmlns:ds="http://schemas.openxmlformats.org/officeDocument/2006/customXml" ds:itemID="{FBE83DC0-8AFD-4312-9418-BDBC8820CB76}">
  <ds:schemaRefs>
    <ds:schemaRef ds:uri="http://schemas.microsoft.com/sharepoint/v4"/>
    <ds:schemaRef ds:uri="http://purl.org/dc/elements/1.1/"/>
    <ds:schemaRef ds:uri="http://www.w3.org/XML/1998/namespace"/>
    <ds:schemaRef ds:uri="d4dd4adf-ddb3-46a3-8d7c-fab3fb2a6bc7"/>
    <ds:schemaRef ds:uri="http://schemas.microsoft.com/office/infopath/2007/PartnerControls"/>
    <ds:schemaRef ds:uri="http://purl.org/dc/terms/"/>
    <ds:schemaRef ds:uri="http://purl.org/dc/dcmitype/"/>
    <ds:schemaRef ds:uri="http://schemas.microsoft.com/office/2006/documentManagement/types"/>
    <ds:schemaRef ds:uri="http://schemas.openxmlformats.org/package/2006/metadata/core-properties"/>
    <ds:schemaRef ds:uri="http://schemas.microsoft.com/sharepoint/v3"/>
    <ds:schemaRef ds:uri="http://schemas.microsoft.com/office/2006/metadata/properties"/>
  </ds:schemaRefs>
</ds:datastoreItem>
</file>

<file path=customXml/itemProps4.xml><?xml version="1.0" encoding="utf-8"?>
<ds:datastoreItem xmlns:ds="http://schemas.openxmlformats.org/officeDocument/2006/customXml" ds:itemID="{FDF5A31A-3306-49D5-B510-FD3E4FA7BB07}">
  <ds:schemaRefs>
    <ds:schemaRef ds:uri="office.server.policy"/>
  </ds:schemaRefs>
</ds:datastoreItem>
</file>

<file path=customXml/itemProps5.xml><?xml version="1.0" encoding="utf-8"?>
<ds:datastoreItem xmlns:ds="http://schemas.openxmlformats.org/officeDocument/2006/customXml" ds:itemID="{53C4438B-F84C-47B9-BA7F-EA28130C3050}">
  <ds:schemaRefs>
    <ds:schemaRef ds:uri="http://schemas.microsoft.com/sharepoint/events"/>
  </ds:schemaRefs>
</ds:datastoreItem>
</file>

<file path=customXml/itemProps6.xml><?xml version="1.0" encoding="utf-8"?>
<ds:datastoreItem xmlns:ds="http://schemas.openxmlformats.org/officeDocument/2006/customXml" ds:itemID="{11F99BE4-3FAD-4C04-8962-15AC22E0A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14</Pages>
  <Words>3333</Words>
  <Characters>18235</Characters>
  <Application>Microsoft Office Word</Application>
  <DocSecurity>0</DocSecurity>
  <Lines>588</Lines>
  <Paragraphs>199</Paragraphs>
  <ScaleCrop>false</ScaleCrop>
  <HeadingPairs>
    <vt:vector size="2" baseType="variant">
      <vt:variant>
        <vt:lpstr>Title</vt:lpstr>
      </vt:variant>
      <vt:variant>
        <vt:i4>1</vt:i4>
      </vt:variant>
    </vt:vector>
  </HeadingPairs>
  <TitlesOfParts>
    <vt:vector size="1" baseType="lpstr">
      <vt:lpstr>Asia Region Funds Passport Annual Report 2016-17</vt:lpstr>
    </vt:vector>
  </TitlesOfParts>
  <Company>Australian Government - The Treasury</Company>
  <LinksUpToDate>false</LinksUpToDate>
  <CharactersWithSpaces>21369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Asia Region Funds Passport Annual Report 2016-17</dc:title>
  <dc:creator/>
  <cp:lastModifiedBy>Hill, Christine</cp:lastModifiedBy>
  <cp:revision>9</cp:revision>
  <dcterms:created xsi:type="dcterms:W3CDTF">2017-07-19T00:48:00Z</dcterms:created>
  <dcterms:modified xsi:type="dcterms:W3CDTF">2017-07-25T04:13:00Z</dcterms:modified>
</cp:coreProperties>
</file>