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DCF6" w14:textId="5821BD2B" w:rsidR="006D2048" w:rsidRDefault="006D2048" w:rsidP="00225A8B">
      <w:pPr>
        <w:spacing w:after="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C255185" wp14:editId="5EB519E1">
            <wp:extent cx="1431235" cy="829922"/>
            <wp:effectExtent l="0" t="0" r="0" b="8890"/>
            <wp:docPr id="1" name="Picture 1" descr="\\a1.asic.gov.au\ds\userHome\juhyun.pak\Desktop\APEC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1.asic.gov.au\ds\userHome\juhyun.pak\Desktop\APEC log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75" cy="8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4ACC" w14:textId="77777777" w:rsidR="00B35207" w:rsidRDefault="00B35207" w:rsidP="00225A8B">
      <w:pPr>
        <w:spacing w:before="360" w:after="0"/>
        <w:jc w:val="center"/>
        <w:rPr>
          <w:rFonts w:cs="Arial"/>
          <w:b/>
          <w:szCs w:val="20"/>
        </w:rPr>
      </w:pPr>
      <w:r w:rsidRPr="00A11E21">
        <w:rPr>
          <w:rFonts w:cs="Arial"/>
          <w:b/>
          <w:szCs w:val="20"/>
        </w:rPr>
        <w:t>Asia Region Funds Passport</w:t>
      </w:r>
    </w:p>
    <w:p w14:paraId="6CF637B1" w14:textId="77777777" w:rsidR="00AD07EA" w:rsidRPr="00A11E21" w:rsidRDefault="00AD07EA" w:rsidP="00225A8B">
      <w:pPr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Joint Committee</w:t>
      </w:r>
    </w:p>
    <w:p w14:paraId="32604E37" w14:textId="4701B2B6" w:rsidR="006D2048" w:rsidRPr="00A11E21" w:rsidRDefault="00B60662" w:rsidP="00225A8B">
      <w:pPr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Guidance on Host Economy</w:t>
      </w:r>
      <w:r w:rsidR="006D2048" w:rsidRPr="00A11E21">
        <w:rPr>
          <w:rFonts w:cs="Arial"/>
          <w:b/>
          <w:szCs w:val="20"/>
        </w:rPr>
        <w:t xml:space="preserve"> Law</w:t>
      </w:r>
      <w:r>
        <w:rPr>
          <w:rFonts w:cs="Arial"/>
          <w:b/>
          <w:szCs w:val="20"/>
        </w:rPr>
        <w:t>s</w:t>
      </w:r>
      <w:r w:rsidR="006D2048" w:rsidRPr="00A11E21">
        <w:rPr>
          <w:rFonts w:cs="Arial"/>
          <w:b/>
          <w:szCs w:val="20"/>
        </w:rPr>
        <w:t xml:space="preserve"> and Regulation</w:t>
      </w:r>
      <w:r>
        <w:rPr>
          <w:rFonts w:cs="Arial"/>
          <w:b/>
          <w:szCs w:val="20"/>
        </w:rPr>
        <w:t>s</w:t>
      </w:r>
    </w:p>
    <w:p w14:paraId="6C534462" w14:textId="208108D7" w:rsidR="006D2048" w:rsidRPr="00A11E21" w:rsidRDefault="00B35207" w:rsidP="00225A8B">
      <w:r w:rsidRPr="00A11E21">
        <w:t xml:space="preserve">Today we are releasing our 'Guidance on </w:t>
      </w:r>
      <w:r w:rsidR="00B60662">
        <w:t>Host Economy</w:t>
      </w:r>
      <w:r w:rsidRPr="00A11E21">
        <w:t xml:space="preserve"> Law</w:t>
      </w:r>
      <w:r w:rsidR="00B60662">
        <w:t>s</w:t>
      </w:r>
      <w:r w:rsidRPr="00A11E21">
        <w:t xml:space="preserve"> and Regulation</w:t>
      </w:r>
      <w:r w:rsidR="00B60662">
        <w:t>s</w:t>
      </w:r>
      <w:r w:rsidRPr="00A11E21">
        <w:t xml:space="preserve"> relating to the </w:t>
      </w:r>
      <w:r w:rsidR="00B60662">
        <w:t>Asia Region Funds Passport</w:t>
      </w:r>
      <w:r w:rsidR="005707A5">
        <w:t>’</w:t>
      </w:r>
      <w:r w:rsidR="00B60662">
        <w:t xml:space="preserve"> </w:t>
      </w:r>
      <w:r w:rsidRPr="00A11E21">
        <w:t xml:space="preserve">(Guidance). </w:t>
      </w:r>
    </w:p>
    <w:p w14:paraId="4E02FE79" w14:textId="522A8DB5" w:rsidR="00A5335C" w:rsidRPr="00A11E21" w:rsidRDefault="007A2E7B" w:rsidP="00225A8B">
      <w:r>
        <w:t>The Asia</w:t>
      </w:r>
      <w:r w:rsidR="00A5335C" w:rsidRPr="00A11E21">
        <w:t xml:space="preserve"> Region Funds Passport (</w:t>
      </w:r>
      <w:r w:rsidR="00DC193B">
        <w:t>ARFP</w:t>
      </w:r>
      <w:r w:rsidR="00A5335C" w:rsidRPr="00A11E21">
        <w:t xml:space="preserve">) is intended to create a regional market for collective investment schemes (CISs) by facilitating cross-border offerings across </w:t>
      </w:r>
      <w:r w:rsidR="00B60662">
        <w:t>participating</w:t>
      </w:r>
      <w:r w:rsidR="00A5335C" w:rsidRPr="00A11E21">
        <w:t xml:space="preserve"> economies. It </w:t>
      </w:r>
      <w:r w:rsidR="00063006">
        <w:t>will</w:t>
      </w:r>
      <w:r w:rsidR="00A5335C" w:rsidRPr="00A11E21">
        <w:t xml:space="preserve"> reduce regulatory duplication for CIS operators by establishing a standardised set of requirements.</w:t>
      </w:r>
    </w:p>
    <w:p w14:paraId="047FF874" w14:textId="113CD96E" w:rsidR="00B35207" w:rsidRPr="00A11E21" w:rsidRDefault="00B35207" w:rsidP="00225A8B">
      <w:r w:rsidRPr="00A11E21">
        <w:t xml:space="preserve">The </w:t>
      </w:r>
      <w:r w:rsidR="001D3FF2">
        <w:t xml:space="preserve">interim </w:t>
      </w:r>
      <w:r w:rsidRPr="00A11E21">
        <w:t>Guidance is provided</w:t>
      </w:r>
      <w:r w:rsidR="00A5335C" w:rsidRPr="00A11E21">
        <w:t xml:space="preserve"> to help CIS</w:t>
      </w:r>
      <w:r w:rsidRPr="00A11E21">
        <w:t xml:space="preserve"> operators to make an initial assessment of the r</w:t>
      </w:r>
      <w:r w:rsidR="00A5335C" w:rsidRPr="00A11E21">
        <w:t>equirements</w:t>
      </w:r>
      <w:r w:rsidRPr="00A11E21">
        <w:t xml:space="preserve"> under the </w:t>
      </w:r>
      <w:r w:rsidR="00DC193B">
        <w:t>ARFP</w:t>
      </w:r>
      <w:r w:rsidRPr="00A11E21">
        <w:t>, and is not intended to substitute</w:t>
      </w:r>
      <w:r w:rsidR="00B60662">
        <w:t xml:space="preserve"> for</w:t>
      </w:r>
      <w:r w:rsidRPr="00A11E21">
        <w:t xml:space="preserve"> independent legal advice, which all CIS operators interes</w:t>
      </w:r>
      <w:r w:rsidR="00A11E21" w:rsidRPr="00A11E21">
        <w:t xml:space="preserve">ted in participating in the </w:t>
      </w:r>
      <w:r w:rsidR="00DC193B">
        <w:t>ARFP</w:t>
      </w:r>
      <w:r w:rsidRPr="00A11E21">
        <w:t xml:space="preserve"> should obtain. </w:t>
      </w:r>
    </w:p>
    <w:p w14:paraId="74B98F7A" w14:textId="146236D4" w:rsidR="00520640" w:rsidRPr="00A11E21" w:rsidRDefault="00520640" w:rsidP="00225A8B">
      <w:r w:rsidRPr="00A11E21">
        <w:t>The document sets out a number of key regulatory matters applicable to CIS operators seeking entry into Japan,</w:t>
      </w:r>
      <w:r w:rsidR="004743EE">
        <w:t xml:space="preserve"> Australia,</w:t>
      </w:r>
      <w:r w:rsidRPr="00A11E21">
        <w:t xml:space="preserve"> Korea, New Zea</w:t>
      </w:r>
      <w:r w:rsidR="00063006">
        <w:t xml:space="preserve">land or Thailand under the </w:t>
      </w:r>
      <w:r w:rsidR="00DC193B">
        <w:t>ARFP</w:t>
      </w:r>
      <w:r w:rsidRPr="00A11E21">
        <w:t xml:space="preserve">. Matters covered include: </w:t>
      </w:r>
    </w:p>
    <w:p w14:paraId="6C2DDAFC" w14:textId="77777777" w:rsidR="00520640" w:rsidRPr="00A11E21" w:rsidRDefault="00520640" w:rsidP="00225A8B">
      <w:pPr>
        <w:pStyle w:val="Bullet"/>
      </w:pPr>
      <w:r w:rsidRPr="00A11E21">
        <w:t>disclosure</w:t>
      </w:r>
    </w:p>
    <w:p w14:paraId="3636D8E7" w14:textId="77777777" w:rsidR="00520640" w:rsidRPr="00A11E21" w:rsidRDefault="00520640" w:rsidP="00225A8B">
      <w:pPr>
        <w:pStyle w:val="Bullet"/>
      </w:pPr>
      <w:r w:rsidRPr="00A11E21">
        <w:t>capital controls</w:t>
      </w:r>
    </w:p>
    <w:p w14:paraId="712BEA36" w14:textId="77777777" w:rsidR="00520640" w:rsidRPr="00A11E21" w:rsidRDefault="00520640" w:rsidP="00225A8B">
      <w:pPr>
        <w:pStyle w:val="Bullet"/>
      </w:pPr>
      <w:r w:rsidRPr="00A11E21">
        <w:t>distribution</w:t>
      </w:r>
    </w:p>
    <w:p w14:paraId="3CC500B8" w14:textId="77777777" w:rsidR="00B35207" w:rsidRPr="00A11E21" w:rsidRDefault="00520640" w:rsidP="00225A8B">
      <w:pPr>
        <w:pStyle w:val="Bullet"/>
      </w:pPr>
      <w:r w:rsidRPr="00A11E21">
        <w:t>local agents</w:t>
      </w:r>
    </w:p>
    <w:p w14:paraId="6CB96A48" w14:textId="77777777" w:rsidR="00520640" w:rsidRPr="00A11E21" w:rsidRDefault="00520640" w:rsidP="00225A8B">
      <w:pPr>
        <w:pStyle w:val="Bullet"/>
      </w:pPr>
      <w:r w:rsidRPr="00A11E21">
        <w:t>access to financial markets to sell exchange traded funds (ETFs)</w:t>
      </w:r>
    </w:p>
    <w:p w14:paraId="202F4B63" w14:textId="77777777" w:rsidR="00520640" w:rsidRPr="00A11E21" w:rsidRDefault="00520640" w:rsidP="00225A8B">
      <w:pPr>
        <w:pStyle w:val="Bullet"/>
      </w:pPr>
      <w:r w:rsidRPr="00A11E21">
        <w:t>privacy and anti-money laundering (AML) legislation.</w:t>
      </w:r>
    </w:p>
    <w:p w14:paraId="31680C88" w14:textId="2597DBB1" w:rsidR="00F117D4" w:rsidRDefault="00303208" w:rsidP="00225A8B">
      <w:r w:rsidRPr="00A11E21">
        <w:t xml:space="preserve">The material covered in the document is </w:t>
      </w:r>
      <w:r w:rsidR="00063006">
        <w:t xml:space="preserve">based on the </w:t>
      </w:r>
      <w:r w:rsidR="00DC193B">
        <w:t>ARFP</w:t>
      </w:r>
      <w:r w:rsidR="00063006">
        <w:t xml:space="preserve"> </w:t>
      </w:r>
      <w:r w:rsidR="00EE0727" w:rsidRPr="00A11E21">
        <w:t>Joint Committee's understanding of</w:t>
      </w:r>
      <w:r w:rsidR="00063006">
        <w:t xml:space="preserve"> the </w:t>
      </w:r>
      <w:r w:rsidR="00AD07EA">
        <w:t xml:space="preserve">main </w:t>
      </w:r>
      <w:r w:rsidR="00EE0727" w:rsidRPr="00A11E21">
        <w:t>provisions</w:t>
      </w:r>
      <w:r w:rsidR="00B60662">
        <w:t xml:space="preserve"> of host e</w:t>
      </w:r>
      <w:r w:rsidR="00031DA1">
        <w:t>conomies</w:t>
      </w:r>
      <w:r w:rsidR="00063006">
        <w:t xml:space="preserve"> that will </w:t>
      </w:r>
      <w:r w:rsidR="00A010C5">
        <w:t xml:space="preserve">likely </w:t>
      </w:r>
      <w:r w:rsidR="00063006">
        <w:t>be</w:t>
      </w:r>
      <w:r w:rsidR="00EE0727" w:rsidRPr="00A11E21">
        <w:t xml:space="preserve"> applicable</w:t>
      </w:r>
      <w:r w:rsidR="00063006">
        <w:t xml:space="preserve"> to </w:t>
      </w:r>
      <w:r w:rsidR="00DC193B">
        <w:t>ARFP</w:t>
      </w:r>
      <w:r w:rsidR="00B60662">
        <w:t xml:space="preserve"> fund</w:t>
      </w:r>
      <w:r w:rsidR="000F64A1">
        <w:t xml:space="preserve"> operators </w:t>
      </w:r>
      <w:r w:rsidR="00063006">
        <w:t xml:space="preserve">under the </w:t>
      </w:r>
      <w:r w:rsidR="00DC193B">
        <w:t>ARFP</w:t>
      </w:r>
      <w:r w:rsidR="00EE0727" w:rsidRPr="00A11E21">
        <w:t xml:space="preserve"> regulatory framework. </w:t>
      </w:r>
    </w:p>
    <w:p w14:paraId="71FFBA02" w14:textId="2DD6DF8B" w:rsidR="00F117D4" w:rsidRDefault="00F117D4" w:rsidP="00225A8B">
      <w:r>
        <w:t xml:space="preserve">The intention is to assist </w:t>
      </w:r>
      <w:r w:rsidR="00E76D4D">
        <w:t xml:space="preserve">potential </w:t>
      </w:r>
      <w:r w:rsidR="00DC193B">
        <w:t>ARFP</w:t>
      </w:r>
      <w:r w:rsidR="00B60662">
        <w:t xml:space="preserve"> f</w:t>
      </w:r>
      <w:r>
        <w:t>und</w:t>
      </w:r>
      <w:r w:rsidR="00E76D4D">
        <w:t xml:space="preserve"> operator</w:t>
      </w:r>
      <w:r>
        <w:t xml:space="preserve">s to </w:t>
      </w:r>
      <w:r w:rsidR="00E76D4D">
        <w:t>consider</w:t>
      </w:r>
      <w:r>
        <w:t xml:space="preserve"> using </w:t>
      </w:r>
      <w:r w:rsidR="00A8325D">
        <w:t xml:space="preserve">the </w:t>
      </w:r>
      <w:r w:rsidR="00DC193B">
        <w:t>ARFP</w:t>
      </w:r>
      <w:r w:rsidR="00A8325D">
        <w:t xml:space="preserve"> to make offers in host e</w:t>
      </w:r>
      <w:r>
        <w:t>conomies.</w:t>
      </w:r>
    </w:p>
    <w:p w14:paraId="7A3A7B4B" w14:textId="57482581" w:rsidR="008859D3" w:rsidRDefault="00EE0727" w:rsidP="00225A8B">
      <w:r w:rsidRPr="00A11E21">
        <w:t xml:space="preserve">However, </w:t>
      </w:r>
      <w:r w:rsidR="000F64A1">
        <w:t xml:space="preserve">it is not </w:t>
      </w:r>
      <w:r w:rsidR="00F117D4">
        <w:t xml:space="preserve">intended to be </w:t>
      </w:r>
      <w:r w:rsidR="000F64A1">
        <w:t xml:space="preserve">a </w:t>
      </w:r>
      <w:r w:rsidR="00F117D4">
        <w:t xml:space="preserve">comprehensive </w:t>
      </w:r>
      <w:r w:rsidR="000F64A1">
        <w:t xml:space="preserve">statement about </w:t>
      </w:r>
      <w:r w:rsidRPr="00A11E21">
        <w:t>the</w:t>
      </w:r>
      <w:r w:rsidR="00B60662">
        <w:t xml:space="preserve"> host e</w:t>
      </w:r>
      <w:r w:rsidR="00031DA1">
        <w:t>conom</w:t>
      </w:r>
      <w:r w:rsidR="00B60662">
        <w:t>y</w:t>
      </w:r>
      <w:r w:rsidR="00AD07EA">
        <w:t xml:space="preserve"> laws and regulations</w:t>
      </w:r>
      <w:r w:rsidRPr="00A11E21">
        <w:t xml:space="preserve"> applicable to </w:t>
      </w:r>
      <w:r w:rsidR="00E76D4D">
        <w:t xml:space="preserve">potential </w:t>
      </w:r>
      <w:r w:rsidR="00DC193B">
        <w:t>ARFP</w:t>
      </w:r>
      <w:r w:rsidR="00B60662">
        <w:t xml:space="preserve"> fund</w:t>
      </w:r>
      <w:r w:rsidRPr="00A11E21">
        <w:t xml:space="preserve"> operators</w:t>
      </w:r>
      <w:r w:rsidR="00E76D4D">
        <w:t xml:space="preserve"> that may consider using the </w:t>
      </w:r>
      <w:r w:rsidR="00DC193B">
        <w:t>ARFP</w:t>
      </w:r>
      <w:r w:rsidR="008859D3">
        <w:t>. The document is not legal advice and does not repl</w:t>
      </w:r>
      <w:r w:rsidR="00B60662">
        <w:t>ace the need for legal advice.</w:t>
      </w:r>
    </w:p>
    <w:p w14:paraId="75C508BF" w14:textId="078861D8" w:rsidR="00F117D4" w:rsidRPr="00A11E21" w:rsidRDefault="00E76D4D" w:rsidP="00225A8B">
      <w:r>
        <w:t xml:space="preserve">The document is </w:t>
      </w:r>
      <w:r w:rsidR="00B31954">
        <w:t xml:space="preserve">interim </w:t>
      </w:r>
      <w:r>
        <w:t xml:space="preserve">guidance. </w:t>
      </w:r>
      <w:r w:rsidR="008859D3">
        <w:t>In some areas the legal r</w:t>
      </w:r>
      <w:r w:rsidR="00B60662">
        <w:t>equirements that will apply in host e</w:t>
      </w:r>
      <w:r w:rsidR="008859D3">
        <w:t>conomies are not settled. T</w:t>
      </w:r>
      <w:r w:rsidR="00EE0727" w:rsidRPr="00A11E21">
        <w:t>he content of the Guidance should not be regarded as a statement of policy by any</w:t>
      </w:r>
      <w:r w:rsidR="00A11E21" w:rsidRPr="00A11E21">
        <w:t xml:space="preserve"> of </w:t>
      </w:r>
      <w:r w:rsidR="00063006">
        <w:t xml:space="preserve">the </w:t>
      </w:r>
      <w:r w:rsidR="00DC193B">
        <w:t>ARFP</w:t>
      </w:r>
      <w:r w:rsidR="00B60662">
        <w:t xml:space="preserve"> economies</w:t>
      </w:r>
      <w:r w:rsidR="00EE0727" w:rsidRPr="00A11E21">
        <w:t>.</w:t>
      </w:r>
      <w:r w:rsidR="008859D3">
        <w:t xml:space="preserve"> The intention is to update the Guidance as </w:t>
      </w:r>
      <w:r w:rsidR="00A010C5">
        <w:t xml:space="preserve">the applicable </w:t>
      </w:r>
      <w:r w:rsidR="008859D3">
        <w:t>legal requirements</w:t>
      </w:r>
      <w:r>
        <w:t xml:space="preserve"> become clear</w:t>
      </w:r>
      <w:r w:rsidR="008859D3">
        <w:t xml:space="preserve"> and also to take into account industry submissions.</w:t>
      </w:r>
    </w:p>
    <w:p w14:paraId="0ABCFCF5" w14:textId="77777777" w:rsidR="00961718" w:rsidRPr="00A11E21" w:rsidRDefault="00E76D4D" w:rsidP="00225A8B">
      <w:r>
        <w:t>Submissions should address</w:t>
      </w:r>
      <w:r w:rsidR="00961718" w:rsidRPr="00A11E21">
        <w:t xml:space="preserve"> whether </w:t>
      </w:r>
      <w:r>
        <w:t xml:space="preserve">further </w:t>
      </w:r>
      <w:r w:rsidR="00961718" w:rsidRPr="00A11E21">
        <w:t>clarification is needed for any particular matter</w:t>
      </w:r>
      <w:r>
        <w:t xml:space="preserve"> in the interim Guidance</w:t>
      </w:r>
      <w:r w:rsidR="00961718" w:rsidRPr="00A11E21">
        <w:t>. We would also</w:t>
      </w:r>
      <w:r w:rsidR="00031DA1">
        <w:t xml:space="preserve"> welcome </w:t>
      </w:r>
      <w:r w:rsidR="00961718" w:rsidRPr="00A11E21">
        <w:t xml:space="preserve">views on the areas of the Guidance that would benefit from </w:t>
      </w:r>
      <w:r w:rsidR="00B96239">
        <w:t>dis</w:t>
      </w:r>
      <w:r>
        <w:t>cussion</w:t>
      </w:r>
      <w:r w:rsidR="00961718" w:rsidRPr="00A11E21">
        <w:t>.</w:t>
      </w:r>
    </w:p>
    <w:p w14:paraId="4AC3B847" w14:textId="17EEB54F" w:rsidR="00EE0727" w:rsidRPr="00A11E21" w:rsidRDefault="00EE0727" w:rsidP="00225A8B">
      <w:r w:rsidRPr="00A11E21">
        <w:t xml:space="preserve">The consultation will be open for 8 weeks from today, and </w:t>
      </w:r>
      <w:r w:rsidR="00F117D4">
        <w:t xml:space="preserve">we suggest that </w:t>
      </w:r>
      <w:r w:rsidRPr="00A11E21">
        <w:t xml:space="preserve">submissions be made to the </w:t>
      </w:r>
      <w:r w:rsidR="00DC193B">
        <w:t>ARFP</w:t>
      </w:r>
      <w:r w:rsidR="00F117D4">
        <w:t xml:space="preserve"> regulator in the submitter’s economy.</w:t>
      </w:r>
      <w:r w:rsidRPr="00A11E21">
        <w:t xml:space="preserve"> </w:t>
      </w:r>
    </w:p>
    <w:p w14:paraId="6965DD88" w14:textId="46622CD3" w:rsidR="00EE0727" w:rsidRPr="00A11E21" w:rsidRDefault="00EE0727" w:rsidP="00225A8B">
      <w:r w:rsidRPr="00A11E21">
        <w:t xml:space="preserve">The Guidance and submission details are available at: </w:t>
      </w:r>
      <w:hyperlink r:id="rId12" w:history="1">
        <w:r w:rsidRPr="00A11E21">
          <w:rPr>
            <w:rStyle w:val="Hyperlink"/>
            <w:rFonts w:cs="Arial"/>
            <w:szCs w:val="20"/>
          </w:rPr>
          <w:t>www.fundspassport.apec.org</w:t>
        </w:r>
      </w:hyperlink>
      <w:r w:rsidRPr="00A11E21">
        <w:t>.</w:t>
      </w:r>
    </w:p>
    <w:sectPr w:rsidR="00EE0727" w:rsidRPr="00A1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713"/>
    <w:multiLevelType w:val="hybridMultilevel"/>
    <w:tmpl w:val="C784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07963"/>
    <w:multiLevelType w:val="multilevel"/>
    <w:tmpl w:val="A4A01B3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971342"/>
    <w:multiLevelType w:val="hybridMultilevel"/>
    <w:tmpl w:val="0DF84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8"/>
    <w:rsid w:val="00011D34"/>
    <w:rsid w:val="00031DA1"/>
    <w:rsid w:val="00063006"/>
    <w:rsid w:val="00076BCF"/>
    <w:rsid w:val="000F64A1"/>
    <w:rsid w:val="001D3FF2"/>
    <w:rsid w:val="00225A8B"/>
    <w:rsid w:val="00303208"/>
    <w:rsid w:val="00370B97"/>
    <w:rsid w:val="004743EE"/>
    <w:rsid w:val="004C489E"/>
    <w:rsid w:val="00520640"/>
    <w:rsid w:val="005707A5"/>
    <w:rsid w:val="006358F7"/>
    <w:rsid w:val="006879C6"/>
    <w:rsid w:val="006D2048"/>
    <w:rsid w:val="00751AE5"/>
    <w:rsid w:val="007A2E7B"/>
    <w:rsid w:val="008859D3"/>
    <w:rsid w:val="009372D4"/>
    <w:rsid w:val="00961718"/>
    <w:rsid w:val="00A010C5"/>
    <w:rsid w:val="00A11E21"/>
    <w:rsid w:val="00A31D7B"/>
    <w:rsid w:val="00A5335C"/>
    <w:rsid w:val="00A8325D"/>
    <w:rsid w:val="00AC4EB6"/>
    <w:rsid w:val="00AD07EA"/>
    <w:rsid w:val="00B31954"/>
    <w:rsid w:val="00B35207"/>
    <w:rsid w:val="00B60662"/>
    <w:rsid w:val="00B96239"/>
    <w:rsid w:val="00D40866"/>
    <w:rsid w:val="00D56989"/>
    <w:rsid w:val="00DA6495"/>
    <w:rsid w:val="00DC193B"/>
    <w:rsid w:val="00E76D4D"/>
    <w:rsid w:val="00EE0727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4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B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727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225A8B"/>
    <w:pPr>
      <w:numPr>
        <w:numId w:val="3"/>
      </w:numPr>
    </w:pPr>
  </w:style>
  <w:style w:type="character" w:customStyle="1" w:styleId="BulletChar">
    <w:name w:val="Bullet Char"/>
    <w:basedOn w:val="DefaultParagraphFont"/>
    <w:link w:val="Bullet"/>
    <w:rsid w:val="00225A8B"/>
    <w:rPr>
      <w:rFonts w:ascii="Arial" w:hAnsi="Arial"/>
      <w:sz w:val="20"/>
    </w:rPr>
  </w:style>
  <w:style w:type="paragraph" w:customStyle="1" w:styleId="Dash">
    <w:name w:val="Dash"/>
    <w:basedOn w:val="Normal"/>
    <w:link w:val="DashChar"/>
    <w:rsid w:val="00225A8B"/>
    <w:pPr>
      <w:numPr>
        <w:ilvl w:val="1"/>
        <w:numId w:val="3"/>
      </w:numPr>
    </w:pPr>
  </w:style>
  <w:style w:type="character" w:customStyle="1" w:styleId="DashChar">
    <w:name w:val="Dash Char"/>
    <w:basedOn w:val="DefaultParagraphFont"/>
    <w:link w:val="Dash"/>
    <w:rsid w:val="00225A8B"/>
    <w:rPr>
      <w:rFonts w:ascii="Arial" w:hAnsi="Arial"/>
      <w:sz w:val="20"/>
    </w:rPr>
  </w:style>
  <w:style w:type="paragraph" w:customStyle="1" w:styleId="DoubleDot">
    <w:name w:val="Double Dot"/>
    <w:basedOn w:val="Normal"/>
    <w:link w:val="DoubleDotChar"/>
    <w:rsid w:val="00225A8B"/>
    <w:pPr>
      <w:numPr>
        <w:ilvl w:val="2"/>
        <w:numId w:val="3"/>
      </w:numPr>
    </w:pPr>
  </w:style>
  <w:style w:type="character" w:customStyle="1" w:styleId="DoubleDotChar">
    <w:name w:val="Double Dot Char"/>
    <w:basedOn w:val="DefaultParagraphFont"/>
    <w:link w:val="DoubleDot"/>
    <w:rsid w:val="00225A8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B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727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225A8B"/>
    <w:pPr>
      <w:numPr>
        <w:numId w:val="3"/>
      </w:numPr>
    </w:pPr>
  </w:style>
  <w:style w:type="character" w:customStyle="1" w:styleId="BulletChar">
    <w:name w:val="Bullet Char"/>
    <w:basedOn w:val="DefaultParagraphFont"/>
    <w:link w:val="Bullet"/>
    <w:rsid w:val="00225A8B"/>
    <w:rPr>
      <w:rFonts w:ascii="Arial" w:hAnsi="Arial"/>
      <w:sz w:val="20"/>
    </w:rPr>
  </w:style>
  <w:style w:type="paragraph" w:customStyle="1" w:styleId="Dash">
    <w:name w:val="Dash"/>
    <w:basedOn w:val="Normal"/>
    <w:link w:val="DashChar"/>
    <w:rsid w:val="00225A8B"/>
    <w:pPr>
      <w:numPr>
        <w:ilvl w:val="1"/>
        <w:numId w:val="3"/>
      </w:numPr>
    </w:pPr>
  </w:style>
  <w:style w:type="character" w:customStyle="1" w:styleId="DashChar">
    <w:name w:val="Dash Char"/>
    <w:basedOn w:val="DefaultParagraphFont"/>
    <w:link w:val="Dash"/>
    <w:rsid w:val="00225A8B"/>
    <w:rPr>
      <w:rFonts w:ascii="Arial" w:hAnsi="Arial"/>
      <w:sz w:val="20"/>
    </w:rPr>
  </w:style>
  <w:style w:type="paragraph" w:customStyle="1" w:styleId="DoubleDot">
    <w:name w:val="Double Dot"/>
    <w:basedOn w:val="Normal"/>
    <w:link w:val="DoubleDotChar"/>
    <w:rsid w:val="00225A8B"/>
    <w:pPr>
      <w:numPr>
        <w:ilvl w:val="2"/>
        <w:numId w:val="3"/>
      </w:numPr>
    </w:pPr>
  </w:style>
  <w:style w:type="character" w:customStyle="1" w:styleId="DoubleDotChar">
    <w:name w:val="Double Dot Char"/>
    <w:basedOn w:val="DefaultParagraphFont"/>
    <w:link w:val="DoubleDot"/>
    <w:rsid w:val="00225A8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undspassport.ape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78A86F7C6E73834FB83FA460D8519B96" ma:contentTypeVersion="4088" ma:contentTypeDescription="" ma:contentTypeScope="" ma:versionID="1edf5ab4eea2be31be0d0101e75a7007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eb2443d1a16d80b972c9b4f1ca1fbd3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2017MG-158-6350</_dlc_DocId>
    <_dlc_DocIdUrl xmlns="d4dd4adf-ddb3-46a3-8d7c-fab3fb2a6bc7">
      <Url>http://tweb/sites/mg/fsd/_layouts/15/DocIdRedir.aspx?ID=2017MG-158-6350</Url>
      <Description>2017MG-158-6350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A5D44996-8255-4E5A-AFBD-D700AB305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6F4EB-E957-4A0D-A0CD-444B129F80FB}">
  <ds:schemaRefs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d4dd4adf-ddb3-46a3-8d7c-fab3fb2a6bc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42398E-FE5E-43A1-BF6B-B38635B68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5C2B5-1042-4EE5-BB5B-73757E181E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D442BA-6419-486D-A6A0-20360033648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402</Words>
  <Characters>2212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host economy’s law and regulation relating to ARFP - Cover Note</vt:lpstr>
    </vt:vector>
  </TitlesOfParts>
  <Company>Australian Government - The Treasury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host economy’s law and regulation relating to ARFP - Cover Note</dc:title>
  <dc:creator>Asia Region Funds Passport Joint Committee</dc:creator>
  <cp:lastModifiedBy>Hill, Christine</cp:lastModifiedBy>
  <cp:revision>14</cp:revision>
  <cp:lastPrinted>2017-07-20T07:16:00Z</cp:lastPrinted>
  <dcterms:created xsi:type="dcterms:W3CDTF">2017-07-19T00:34:00Z</dcterms:created>
  <dcterms:modified xsi:type="dcterms:W3CDTF">2017-07-20T07:18:00Z</dcterms:modified>
</cp:coreProperties>
</file>